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108A" w:rsidRDefault="00E0108A" w:rsidP="00E0108A">
      <w:pPr>
        <w:autoSpaceDE w:val="0"/>
        <w:autoSpaceDN w:val="0"/>
        <w:adjustRightInd w:val="0"/>
        <w:spacing w:line="456" w:lineRule="auto"/>
        <w:ind w:left="360"/>
        <w:jc w:val="both"/>
        <w:rPr>
          <w:szCs w:val="14"/>
          <w:u w:color="FF0000"/>
          <w:lang w:val="fr-FR"/>
        </w:rPr>
      </w:pPr>
    </w:p>
    <w:p w:rsidR="00E0108A" w:rsidRDefault="00E0108A" w:rsidP="00E0108A">
      <w:pPr>
        <w:spacing w:line="456" w:lineRule="auto"/>
        <w:jc w:val="both"/>
        <w:rPr>
          <w:szCs w:val="20"/>
          <w:lang w:val="en-US"/>
        </w:rPr>
      </w:pPr>
      <w:r>
        <w:rPr>
          <w:szCs w:val="20"/>
          <w:lang w:val="en-US"/>
        </w:rPr>
        <w:t xml:space="preserve">Table 1.The distribution of the surgeons by work institutions and surgeons’ specialties rates of the procedures in diagnosis and treatment. </w:t>
      </w:r>
    </w:p>
    <w:tbl>
      <w:tblPr>
        <w:tblW w:w="14022" w:type="dxa"/>
        <w:tblInd w:w="8" w:type="dxa"/>
        <w:tblLayout w:type="fixed"/>
        <w:tblCellMar>
          <w:left w:w="0" w:type="dxa"/>
          <w:right w:w="0" w:type="dxa"/>
        </w:tblCellMar>
        <w:tblLook w:val="00BF"/>
      </w:tblPr>
      <w:tblGrid>
        <w:gridCol w:w="2872"/>
        <w:gridCol w:w="1988"/>
        <w:gridCol w:w="2449"/>
        <w:gridCol w:w="601"/>
        <w:gridCol w:w="1199"/>
        <w:gridCol w:w="540"/>
        <w:gridCol w:w="1853"/>
        <w:gridCol w:w="720"/>
        <w:gridCol w:w="1268"/>
        <w:gridCol w:w="532"/>
      </w:tblGrid>
      <w:tr w:rsidR="00E0108A" w:rsidTr="005434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8"/>
        </w:trPr>
        <w:tc>
          <w:tcPr>
            <w:tcW w:w="2872" w:type="dxa"/>
            <w:vMerge w:val="restart"/>
            <w:tcBorders>
              <w:right w:val="single" w:sz="12" w:space="0" w:color="000000"/>
            </w:tcBorders>
          </w:tcPr>
          <w:p w:rsidR="00E0108A" w:rsidRDefault="00E0108A" w:rsidP="00543473">
            <w:pPr>
              <w:tabs>
                <w:tab w:val="left" w:pos="525"/>
                <w:tab w:val="right" w:pos="2505"/>
              </w:tabs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Variables</w:t>
            </w:r>
          </w:p>
        </w:tc>
        <w:tc>
          <w:tcPr>
            <w:tcW w:w="1988" w:type="dxa"/>
            <w:vMerge w:val="restart"/>
          </w:tcPr>
          <w:p w:rsidR="00E0108A" w:rsidRDefault="00E0108A" w:rsidP="00543473">
            <w:pPr>
              <w:pStyle w:val="Heading1"/>
              <w:rPr>
                <w:sz w:val="24"/>
              </w:rPr>
            </w:pPr>
            <w:r>
              <w:rPr>
                <w:sz w:val="24"/>
              </w:rPr>
              <w:t>No. of participants (%)</w:t>
            </w:r>
          </w:p>
        </w:tc>
        <w:tc>
          <w:tcPr>
            <w:tcW w:w="2449" w:type="dxa"/>
            <w:vMerge w:val="restart"/>
          </w:tcPr>
          <w:p w:rsidR="00E0108A" w:rsidRDefault="00E0108A" w:rsidP="0054347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No. of usage microbiology in diagnosis (%)</w:t>
            </w:r>
          </w:p>
        </w:tc>
        <w:tc>
          <w:tcPr>
            <w:tcW w:w="2340" w:type="dxa"/>
            <w:gridSpan w:val="3"/>
          </w:tcPr>
          <w:p w:rsidR="00E0108A" w:rsidRDefault="00E0108A" w:rsidP="0054347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proofErr w:type="spellStart"/>
            <w:r>
              <w:rPr>
                <w:b/>
                <w:bCs/>
                <w:szCs w:val="20"/>
                <w:lang w:val="en-US"/>
              </w:rPr>
              <w:t>Univariate</w:t>
            </w:r>
            <w:proofErr w:type="spellEnd"/>
            <w:r>
              <w:rPr>
                <w:b/>
                <w:bCs/>
                <w:szCs w:val="20"/>
                <w:lang w:val="en-US"/>
              </w:rPr>
              <w:t xml:space="preserve"> analyses</w:t>
            </w:r>
          </w:p>
        </w:tc>
        <w:tc>
          <w:tcPr>
            <w:tcW w:w="1853" w:type="dxa"/>
            <w:vMerge w:val="restart"/>
          </w:tcPr>
          <w:p w:rsidR="00E0108A" w:rsidRDefault="00E0108A" w:rsidP="0054347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No. of usage ID consultations in treatment (%)</w:t>
            </w:r>
          </w:p>
        </w:tc>
        <w:tc>
          <w:tcPr>
            <w:tcW w:w="2520" w:type="dxa"/>
            <w:gridSpan w:val="3"/>
            <w:tcBorders>
              <w:bottom w:val="single" w:sz="12" w:space="0" w:color="000000"/>
            </w:tcBorders>
          </w:tcPr>
          <w:p w:rsidR="00E0108A" w:rsidRDefault="00E0108A" w:rsidP="00543473">
            <w:pPr>
              <w:pStyle w:val="Heading3"/>
              <w:jc w:val="center"/>
            </w:pPr>
            <w:proofErr w:type="spellStart"/>
            <w:r>
              <w:t>Univariate</w:t>
            </w:r>
            <w:proofErr w:type="spellEnd"/>
            <w:r>
              <w:t xml:space="preserve"> analyses</w:t>
            </w:r>
          </w:p>
        </w:tc>
      </w:tr>
      <w:tr w:rsidR="00E0108A" w:rsidTr="005434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cantSplit/>
          <w:trHeight w:val="277"/>
        </w:trPr>
        <w:tc>
          <w:tcPr>
            <w:tcW w:w="2872" w:type="dxa"/>
            <w:vMerge/>
            <w:tcBorders>
              <w:bottom w:val="single" w:sz="12" w:space="0" w:color="000000"/>
              <w:right w:val="single" w:sz="12" w:space="0" w:color="000000"/>
            </w:tcBorders>
          </w:tcPr>
          <w:p w:rsidR="00E0108A" w:rsidRDefault="00E0108A" w:rsidP="00543473">
            <w:pPr>
              <w:tabs>
                <w:tab w:val="left" w:pos="525"/>
                <w:tab w:val="right" w:pos="2505"/>
              </w:tabs>
              <w:autoSpaceDE w:val="0"/>
              <w:autoSpaceDN w:val="0"/>
              <w:adjustRightInd w:val="0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1988" w:type="dxa"/>
            <w:vMerge/>
            <w:tcBorders>
              <w:bottom w:val="single" w:sz="12" w:space="0" w:color="000000"/>
            </w:tcBorders>
          </w:tcPr>
          <w:p w:rsidR="00E0108A" w:rsidRDefault="00E0108A" w:rsidP="00543473">
            <w:pPr>
              <w:pStyle w:val="Heading1"/>
              <w:rPr>
                <w:sz w:val="24"/>
              </w:rPr>
            </w:pPr>
          </w:p>
        </w:tc>
        <w:tc>
          <w:tcPr>
            <w:tcW w:w="2449" w:type="dxa"/>
            <w:vMerge/>
            <w:tcBorders>
              <w:bottom w:val="single" w:sz="12" w:space="0" w:color="000000"/>
            </w:tcBorders>
          </w:tcPr>
          <w:p w:rsidR="00E0108A" w:rsidRDefault="00E0108A" w:rsidP="00543473">
            <w:pPr>
              <w:autoSpaceDE w:val="0"/>
              <w:autoSpaceDN w:val="0"/>
              <w:adjustRightInd w:val="0"/>
              <w:jc w:val="center"/>
              <w:rPr>
                <w:b/>
                <w:bCs/>
                <w:szCs w:val="20"/>
                <w:lang w:val="en-US"/>
              </w:rPr>
            </w:pPr>
          </w:p>
        </w:tc>
        <w:tc>
          <w:tcPr>
            <w:tcW w:w="601" w:type="dxa"/>
            <w:tcBorders>
              <w:bottom w:val="single" w:sz="12" w:space="0" w:color="000000"/>
            </w:tcBorders>
          </w:tcPr>
          <w:p w:rsidR="00E0108A" w:rsidRDefault="00E0108A" w:rsidP="00543473">
            <w:pPr>
              <w:pStyle w:val="Heading3"/>
              <w:jc w:val="center"/>
            </w:pPr>
            <w:r>
              <w:t>OR</w:t>
            </w:r>
          </w:p>
        </w:tc>
        <w:tc>
          <w:tcPr>
            <w:tcW w:w="1199" w:type="dxa"/>
            <w:tcBorders>
              <w:bottom w:val="single" w:sz="12" w:space="0" w:color="000000"/>
            </w:tcBorders>
          </w:tcPr>
          <w:p w:rsidR="00E0108A" w:rsidRDefault="00E0108A" w:rsidP="00543473">
            <w:pPr>
              <w:pStyle w:val="Heading3"/>
              <w:jc w:val="center"/>
            </w:pPr>
            <w:r>
              <w:t>95% CI</w:t>
            </w:r>
          </w:p>
        </w:tc>
        <w:tc>
          <w:tcPr>
            <w:tcW w:w="540" w:type="dxa"/>
            <w:tcBorders>
              <w:bottom w:val="single" w:sz="12" w:space="0" w:color="000000"/>
            </w:tcBorders>
          </w:tcPr>
          <w:p w:rsidR="00E0108A" w:rsidRDefault="00E0108A" w:rsidP="00543473">
            <w:pPr>
              <w:pStyle w:val="Heading3"/>
              <w:jc w:val="center"/>
            </w:pPr>
            <w:r>
              <w:t>P</w:t>
            </w:r>
          </w:p>
        </w:tc>
        <w:tc>
          <w:tcPr>
            <w:tcW w:w="1853" w:type="dxa"/>
            <w:vMerge/>
            <w:tcBorders>
              <w:bottom w:val="single" w:sz="12" w:space="0" w:color="000000"/>
            </w:tcBorders>
          </w:tcPr>
          <w:p w:rsidR="00E0108A" w:rsidRDefault="00E0108A" w:rsidP="00543473">
            <w:pPr>
              <w:pStyle w:val="Heading3"/>
              <w:jc w:val="center"/>
            </w:pPr>
          </w:p>
        </w:tc>
        <w:tc>
          <w:tcPr>
            <w:tcW w:w="720" w:type="dxa"/>
            <w:tcBorders>
              <w:bottom w:val="single" w:sz="12" w:space="0" w:color="000000"/>
            </w:tcBorders>
          </w:tcPr>
          <w:p w:rsidR="00E0108A" w:rsidRDefault="00E0108A" w:rsidP="00543473">
            <w:pPr>
              <w:pStyle w:val="Heading3"/>
              <w:jc w:val="center"/>
            </w:pPr>
            <w:r>
              <w:t>OR</w:t>
            </w:r>
          </w:p>
        </w:tc>
        <w:tc>
          <w:tcPr>
            <w:tcW w:w="1268" w:type="dxa"/>
            <w:tcBorders>
              <w:bottom w:val="single" w:sz="12" w:space="0" w:color="000000"/>
            </w:tcBorders>
          </w:tcPr>
          <w:p w:rsidR="00E0108A" w:rsidRDefault="00E0108A" w:rsidP="00543473">
            <w:pPr>
              <w:pStyle w:val="Heading3"/>
              <w:jc w:val="center"/>
            </w:pPr>
            <w:r>
              <w:t>95% CI</w:t>
            </w:r>
          </w:p>
        </w:tc>
        <w:tc>
          <w:tcPr>
            <w:tcW w:w="532" w:type="dxa"/>
            <w:tcBorders>
              <w:bottom w:val="single" w:sz="12" w:space="0" w:color="000000"/>
            </w:tcBorders>
          </w:tcPr>
          <w:p w:rsidR="00E0108A" w:rsidRDefault="00E0108A" w:rsidP="00543473">
            <w:pPr>
              <w:pStyle w:val="Heading3"/>
              <w:jc w:val="center"/>
            </w:pPr>
            <w:r>
              <w:t>P</w:t>
            </w:r>
          </w:p>
        </w:tc>
      </w:tr>
      <w:tr w:rsidR="00E0108A" w:rsidTr="005434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2250"/>
        </w:trPr>
        <w:tc>
          <w:tcPr>
            <w:tcW w:w="2872" w:type="dxa"/>
            <w:tcBorders>
              <w:top w:val="single" w:sz="12" w:space="0" w:color="000000"/>
              <w:right w:val="single" w:sz="12" w:space="0" w:color="000000"/>
            </w:tcBorders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Hospital types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ind w:left="532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University Hospitals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ind w:left="532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General Hospitals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ind w:left="532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SSH*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ind w:left="532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Others**</w:t>
            </w:r>
          </w:p>
        </w:tc>
        <w:tc>
          <w:tcPr>
            <w:tcW w:w="1988" w:type="dxa"/>
            <w:tcBorders>
              <w:top w:val="single" w:sz="12" w:space="0" w:color="000000"/>
            </w:tcBorders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199 (61.0)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66 (20.2)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38 (11.7)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23 (7.1)</w:t>
            </w:r>
          </w:p>
        </w:tc>
        <w:tc>
          <w:tcPr>
            <w:tcW w:w="2449" w:type="dxa"/>
            <w:tcBorders>
              <w:top w:val="single" w:sz="12" w:space="0" w:color="000000"/>
            </w:tcBorders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187 (95.5)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50 (75.8)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26 (81.6)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21 (91.3)</w:t>
            </w:r>
          </w:p>
        </w:tc>
        <w:tc>
          <w:tcPr>
            <w:tcW w:w="601" w:type="dxa"/>
            <w:tcBorders>
              <w:top w:val="single" w:sz="12" w:space="0" w:color="000000"/>
            </w:tcBorders>
          </w:tcPr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4.82</w:t>
            </w: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0.35</w:t>
            </w: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0.25</w:t>
            </w: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1.60</w:t>
            </w:r>
          </w:p>
        </w:tc>
        <w:tc>
          <w:tcPr>
            <w:tcW w:w="1199" w:type="dxa"/>
            <w:tcBorders>
              <w:top w:val="single" w:sz="12" w:space="0" w:color="000000"/>
            </w:tcBorders>
          </w:tcPr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2.36-9.83</w:t>
            </w: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0.17-0.70</w:t>
            </w: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0.12-0.55</w:t>
            </w: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0.36-7.07</w:t>
            </w:r>
          </w:p>
        </w:tc>
        <w:tc>
          <w:tcPr>
            <w:tcW w:w="540" w:type="dxa"/>
            <w:tcBorders>
              <w:top w:val="single" w:sz="12" w:space="0" w:color="000000"/>
            </w:tcBorders>
          </w:tcPr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.000</w:t>
            </w: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.002</w:t>
            </w: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.000</w:t>
            </w: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.534</w:t>
            </w:r>
          </w:p>
        </w:tc>
        <w:tc>
          <w:tcPr>
            <w:tcW w:w="1853" w:type="dxa"/>
            <w:tcBorders>
              <w:top w:val="single" w:sz="12" w:space="0" w:color="000000"/>
            </w:tcBorders>
          </w:tcPr>
          <w:p w:rsidR="00E0108A" w:rsidRDefault="00E0108A" w:rsidP="00543473">
            <w:pPr>
              <w:pStyle w:val="Heading3"/>
              <w:spacing w:line="360" w:lineRule="auto"/>
              <w:jc w:val="center"/>
              <w:rPr>
                <w:szCs w:val="20"/>
              </w:rPr>
            </w:pP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47 (23.6)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10 (15.2)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 (5.3)</w:t>
            </w:r>
          </w:p>
          <w:p w:rsidR="00E0108A" w:rsidRDefault="00E0108A" w:rsidP="00543473">
            <w:pPr>
              <w:pStyle w:val="Heading3"/>
              <w:spacing w:line="360" w:lineRule="auto"/>
              <w:ind w:left="-7"/>
              <w:jc w:val="center"/>
              <w:rPr>
                <w:b w:val="0"/>
              </w:rPr>
            </w:pPr>
            <w:r>
              <w:rPr>
                <w:b w:val="0"/>
                <w:szCs w:val="20"/>
              </w:rPr>
              <w:t>4 (17.4)</w:t>
            </w:r>
          </w:p>
        </w:tc>
        <w:tc>
          <w:tcPr>
            <w:tcW w:w="720" w:type="dxa"/>
            <w:tcBorders>
              <w:top w:val="single" w:sz="12" w:space="0" w:color="000000"/>
            </w:tcBorders>
          </w:tcPr>
          <w:p w:rsidR="00E0108A" w:rsidRDefault="00E0108A" w:rsidP="00543473">
            <w:pPr>
              <w:pStyle w:val="Heading3"/>
              <w:spacing w:line="360" w:lineRule="auto"/>
              <w:jc w:val="center"/>
              <w:rPr>
                <w:szCs w:val="20"/>
              </w:rPr>
            </w:pP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2.12</w:t>
            </w: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0.70</w:t>
            </w: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0.21</w:t>
            </w: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0.87</w:t>
            </w:r>
          </w:p>
        </w:tc>
        <w:tc>
          <w:tcPr>
            <w:tcW w:w="1268" w:type="dxa"/>
            <w:tcBorders>
              <w:top w:val="single" w:sz="12" w:space="0" w:color="000000"/>
            </w:tcBorders>
          </w:tcPr>
          <w:p w:rsidR="00E0108A" w:rsidRDefault="00E0108A" w:rsidP="00543473">
            <w:pPr>
              <w:pStyle w:val="Heading3"/>
              <w:spacing w:line="360" w:lineRule="auto"/>
              <w:jc w:val="center"/>
              <w:rPr>
                <w:szCs w:val="20"/>
              </w:rPr>
            </w:pP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1.14-3.94</w:t>
            </w: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0.33-1.46</w:t>
            </w: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0.05-0.88</w:t>
            </w: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0.29-2.66</w:t>
            </w:r>
          </w:p>
        </w:tc>
        <w:tc>
          <w:tcPr>
            <w:tcW w:w="532" w:type="dxa"/>
            <w:tcBorders>
              <w:top w:val="single" w:sz="12" w:space="0" w:color="000000"/>
            </w:tcBorders>
          </w:tcPr>
          <w:p w:rsidR="00E0108A" w:rsidRDefault="00E0108A" w:rsidP="00543473">
            <w:pPr>
              <w:pStyle w:val="Heading3"/>
              <w:spacing w:line="360" w:lineRule="auto"/>
              <w:jc w:val="center"/>
              <w:rPr>
                <w:szCs w:val="20"/>
              </w:rPr>
            </w:pP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.014</w:t>
            </w: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.336</w:t>
            </w: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.020</w:t>
            </w:r>
          </w:p>
          <w:p w:rsidR="00E0108A" w:rsidRDefault="00E0108A" w:rsidP="00543473">
            <w:pPr>
              <w:spacing w:line="360" w:lineRule="auto"/>
              <w:jc w:val="center"/>
              <w:rPr>
                <w:lang w:val="en-US"/>
              </w:rPr>
            </w:pPr>
            <w:r>
              <w:rPr>
                <w:lang w:val="en-US"/>
              </w:rPr>
              <w:t>.808</w:t>
            </w:r>
          </w:p>
        </w:tc>
      </w:tr>
      <w:tr w:rsidR="00E0108A" w:rsidTr="005434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2" w:type="dxa"/>
            <w:tcBorders>
              <w:right w:val="single" w:sz="12" w:space="0" w:color="000000"/>
            </w:tcBorders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Surgeons’ specialties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ind w:left="532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General surgeons</w:t>
            </w:r>
          </w:p>
          <w:p w:rsidR="00E0108A" w:rsidRDefault="00E0108A" w:rsidP="00543473">
            <w:pPr>
              <w:pStyle w:val="Heading2"/>
            </w:pPr>
            <w:r>
              <w:t>Gynecologists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ind w:left="532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 xml:space="preserve">Cardiac surgeons 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ind w:left="532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Urologist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ind w:left="532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Orthopedist Neurosurgeons</w:t>
            </w:r>
          </w:p>
        </w:tc>
        <w:tc>
          <w:tcPr>
            <w:tcW w:w="1988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110 (33.7)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25 (7.7)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29 (8.9)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44 (13.5)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68 (20.9)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50 (15.3)</w:t>
            </w:r>
          </w:p>
        </w:tc>
        <w:tc>
          <w:tcPr>
            <w:tcW w:w="2449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90 (81.8)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18 (72.0)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24 (82.8)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43 (97.7)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61 (89.7)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48 (96.0)</w:t>
            </w:r>
          </w:p>
        </w:tc>
        <w:tc>
          <w:tcPr>
            <w:tcW w:w="601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0.51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0.34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0.68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7.32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1.37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4.07</w:t>
            </w:r>
          </w:p>
        </w:tc>
        <w:tc>
          <w:tcPr>
            <w:tcW w:w="1199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0.27-0.98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0.13-0.87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0.24-1.90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0.98-54.6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0.58-3.23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0.95-17.41</w:t>
            </w:r>
          </w:p>
        </w:tc>
        <w:tc>
          <w:tcPr>
            <w:tcW w:w="540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.042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.019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.463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.024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.474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.042</w:t>
            </w:r>
          </w:p>
        </w:tc>
        <w:tc>
          <w:tcPr>
            <w:tcW w:w="1853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11 (9.1)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 (4.0)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13 (44.8)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 (2.3)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20 (29.4)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17 (34.0)</w:t>
            </w:r>
          </w:p>
        </w:tc>
        <w:tc>
          <w:tcPr>
            <w:tcW w:w="720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0.35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0.16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4.01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0.08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2.08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2.58</w:t>
            </w:r>
          </w:p>
        </w:tc>
        <w:tc>
          <w:tcPr>
            <w:tcW w:w="1268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0.16-0.70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0.2-1.21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1.82-8.87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0.01-0.61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1.13-3.86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1.32-5.01</w:t>
            </w:r>
          </w:p>
        </w:tc>
        <w:tc>
          <w:tcPr>
            <w:tcW w:w="532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.002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.043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.000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.002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.018</w:t>
            </w:r>
          </w:p>
          <w:p w:rsidR="00E0108A" w:rsidRDefault="00E0108A" w:rsidP="00543473">
            <w:pPr>
              <w:autoSpaceDE w:val="0"/>
              <w:autoSpaceDN w:val="0"/>
              <w:adjustRightInd w:val="0"/>
              <w:spacing w:line="36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.004</w:t>
            </w:r>
          </w:p>
        </w:tc>
      </w:tr>
      <w:tr w:rsidR="00E0108A" w:rsidTr="005434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2" w:type="dxa"/>
            <w:tcBorders>
              <w:right w:val="single" w:sz="12" w:space="0" w:color="000000"/>
            </w:tcBorders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Teaching hospital</w:t>
            </w:r>
          </w:p>
        </w:tc>
        <w:tc>
          <w:tcPr>
            <w:tcW w:w="1988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214 (65.3)</w:t>
            </w:r>
          </w:p>
        </w:tc>
        <w:tc>
          <w:tcPr>
            <w:tcW w:w="2449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202 (94.8)</w:t>
            </w:r>
          </w:p>
        </w:tc>
        <w:tc>
          <w:tcPr>
            <w:tcW w:w="601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6.16</w:t>
            </w:r>
          </w:p>
        </w:tc>
        <w:tc>
          <w:tcPr>
            <w:tcW w:w="1199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3.01-12.61</w:t>
            </w:r>
          </w:p>
        </w:tc>
        <w:tc>
          <w:tcPr>
            <w:tcW w:w="540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.000</w:t>
            </w:r>
          </w:p>
        </w:tc>
        <w:tc>
          <w:tcPr>
            <w:tcW w:w="1853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51 (23.8)</w:t>
            </w:r>
          </w:p>
        </w:tc>
        <w:tc>
          <w:tcPr>
            <w:tcW w:w="720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6.16</w:t>
            </w:r>
          </w:p>
        </w:tc>
        <w:tc>
          <w:tcPr>
            <w:tcW w:w="1268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3.01-12.61</w:t>
            </w:r>
          </w:p>
        </w:tc>
        <w:tc>
          <w:tcPr>
            <w:tcW w:w="532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.000</w:t>
            </w:r>
          </w:p>
        </w:tc>
      </w:tr>
      <w:tr w:rsidR="00E0108A" w:rsidTr="00543473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2872" w:type="dxa"/>
            <w:tcBorders>
              <w:right w:val="single" w:sz="12" w:space="0" w:color="000000"/>
            </w:tcBorders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rPr>
                <w:b/>
                <w:bCs/>
                <w:szCs w:val="20"/>
                <w:lang w:val="en-US"/>
              </w:rPr>
            </w:pPr>
            <w:r>
              <w:rPr>
                <w:b/>
                <w:bCs/>
                <w:szCs w:val="20"/>
                <w:lang w:val="en-US"/>
              </w:rPr>
              <w:t>Total</w:t>
            </w:r>
          </w:p>
        </w:tc>
        <w:tc>
          <w:tcPr>
            <w:tcW w:w="1988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326 (100.0)</w:t>
            </w:r>
          </w:p>
        </w:tc>
        <w:tc>
          <w:tcPr>
            <w:tcW w:w="2449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284 (87.1)</w:t>
            </w:r>
          </w:p>
        </w:tc>
        <w:tc>
          <w:tcPr>
            <w:tcW w:w="601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199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540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853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0"/>
                <w:lang w:val="en-US"/>
              </w:rPr>
            </w:pPr>
            <w:r>
              <w:rPr>
                <w:szCs w:val="20"/>
                <w:lang w:val="en-US"/>
              </w:rPr>
              <w:t>63 (18.8)</w:t>
            </w:r>
          </w:p>
        </w:tc>
        <w:tc>
          <w:tcPr>
            <w:tcW w:w="720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1268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0"/>
                <w:lang w:val="en-US"/>
              </w:rPr>
            </w:pPr>
          </w:p>
        </w:tc>
        <w:tc>
          <w:tcPr>
            <w:tcW w:w="532" w:type="dxa"/>
          </w:tcPr>
          <w:p w:rsidR="00E0108A" w:rsidRDefault="00E0108A" w:rsidP="00543473">
            <w:pPr>
              <w:autoSpaceDE w:val="0"/>
              <w:autoSpaceDN w:val="0"/>
              <w:adjustRightInd w:val="0"/>
              <w:spacing w:line="480" w:lineRule="auto"/>
              <w:jc w:val="center"/>
              <w:rPr>
                <w:szCs w:val="20"/>
                <w:lang w:val="en-US"/>
              </w:rPr>
            </w:pPr>
          </w:p>
        </w:tc>
      </w:tr>
    </w:tbl>
    <w:p w:rsidR="00F95FA2" w:rsidRDefault="00E0108A">
      <w:r>
        <w:rPr>
          <w:szCs w:val="20"/>
          <w:lang w:val="en-US"/>
        </w:rPr>
        <w:t>*</w:t>
      </w:r>
      <w:r>
        <w:rPr>
          <w:bCs/>
          <w:szCs w:val="20"/>
          <w:lang w:val="en-US"/>
        </w:rPr>
        <w:t>Social security hospitals, **</w:t>
      </w:r>
      <w:r>
        <w:rPr>
          <w:szCs w:val="20"/>
          <w:lang w:val="en-US"/>
        </w:rPr>
        <w:t>Two military and three private hospitals</w:t>
      </w:r>
    </w:p>
    <w:sectPr w:rsidR="00F95FA2" w:rsidSect="00852B75">
      <w:pgSz w:w="16838" w:h="11906" w:orient="landscape"/>
      <w:pgMar w:top="1418" w:right="1418" w:bottom="1418" w:left="1418" w:header="709" w:footer="709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20"/>
  <w:characterSpacingControl w:val="doNotCompress"/>
  <w:compat/>
  <w:rsids>
    <w:rsidRoot w:val="00E0108A"/>
    <w:rsid w:val="00DA7196"/>
    <w:rsid w:val="00E0108A"/>
    <w:rsid w:val="00F95FA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0108A"/>
    <w:pPr>
      <w:spacing w:after="0" w:line="240" w:lineRule="auto"/>
    </w:pPr>
    <w:rPr>
      <w:rFonts w:ascii="Arial" w:eastAsia="Times New Roman" w:hAnsi="Arial" w:cs="Arial"/>
      <w:sz w:val="24"/>
      <w:szCs w:val="24"/>
      <w:lang w:val="tr-TR" w:eastAsia="tr-TR"/>
    </w:rPr>
  </w:style>
  <w:style w:type="paragraph" w:styleId="Heading1">
    <w:name w:val="heading 1"/>
    <w:basedOn w:val="Normal"/>
    <w:next w:val="Normal"/>
    <w:link w:val="Heading1Char"/>
    <w:qFormat/>
    <w:rsid w:val="00E0108A"/>
    <w:pPr>
      <w:keepNext/>
      <w:autoSpaceDE w:val="0"/>
      <w:autoSpaceDN w:val="0"/>
      <w:adjustRightInd w:val="0"/>
      <w:jc w:val="center"/>
      <w:outlineLvl w:val="0"/>
    </w:pPr>
    <w:rPr>
      <w:b/>
      <w:bCs/>
      <w:sz w:val="20"/>
      <w:szCs w:val="20"/>
      <w:lang w:val="en-US"/>
    </w:rPr>
  </w:style>
  <w:style w:type="paragraph" w:styleId="Heading2">
    <w:name w:val="heading 2"/>
    <w:basedOn w:val="Normal"/>
    <w:next w:val="Normal"/>
    <w:link w:val="Heading2Char"/>
    <w:qFormat/>
    <w:rsid w:val="00E0108A"/>
    <w:pPr>
      <w:keepNext/>
      <w:autoSpaceDE w:val="0"/>
      <w:autoSpaceDN w:val="0"/>
      <w:adjustRightInd w:val="0"/>
      <w:spacing w:line="360" w:lineRule="auto"/>
      <w:ind w:left="532"/>
      <w:outlineLvl w:val="1"/>
    </w:pPr>
    <w:rPr>
      <w:b/>
      <w:bCs/>
      <w:szCs w:val="20"/>
      <w:lang w:val="en-US"/>
    </w:rPr>
  </w:style>
  <w:style w:type="paragraph" w:styleId="Heading3">
    <w:name w:val="heading 3"/>
    <w:basedOn w:val="Normal"/>
    <w:next w:val="Normal"/>
    <w:link w:val="Heading3Char"/>
    <w:qFormat/>
    <w:rsid w:val="00E0108A"/>
    <w:pPr>
      <w:keepNext/>
      <w:autoSpaceDE w:val="0"/>
      <w:autoSpaceDN w:val="0"/>
      <w:adjustRightInd w:val="0"/>
      <w:outlineLvl w:val="2"/>
    </w:pPr>
    <w:rPr>
      <w:b/>
      <w:bCs/>
      <w:color w:val="231F20"/>
      <w:szCs w:val="16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E0108A"/>
    <w:rPr>
      <w:rFonts w:ascii="Arial" w:eastAsia="Times New Roman" w:hAnsi="Arial" w:cs="Arial"/>
      <w:b/>
      <w:bCs/>
      <w:sz w:val="20"/>
      <w:szCs w:val="20"/>
      <w:lang w:eastAsia="tr-TR"/>
    </w:rPr>
  </w:style>
  <w:style w:type="character" w:customStyle="1" w:styleId="Heading2Char">
    <w:name w:val="Heading 2 Char"/>
    <w:basedOn w:val="DefaultParagraphFont"/>
    <w:link w:val="Heading2"/>
    <w:rsid w:val="00E0108A"/>
    <w:rPr>
      <w:rFonts w:ascii="Arial" w:eastAsia="Times New Roman" w:hAnsi="Arial" w:cs="Arial"/>
      <w:b/>
      <w:bCs/>
      <w:sz w:val="24"/>
      <w:szCs w:val="20"/>
      <w:lang w:eastAsia="tr-TR"/>
    </w:rPr>
  </w:style>
  <w:style w:type="character" w:customStyle="1" w:styleId="Heading3Char">
    <w:name w:val="Heading 3 Char"/>
    <w:basedOn w:val="DefaultParagraphFont"/>
    <w:link w:val="Heading3"/>
    <w:rsid w:val="00E0108A"/>
    <w:rPr>
      <w:rFonts w:ascii="Arial" w:eastAsia="Times New Roman" w:hAnsi="Arial" w:cs="Arial"/>
      <w:b/>
      <w:bCs/>
      <w:color w:val="231F20"/>
      <w:sz w:val="24"/>
      <w:szCs w:val="16"/>
      <w:lang w:eastAsia="tr-T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213</Words>
  <Characters>1220</Characters>
  <Application>Microsoft Office Word</Application>
  <DocSecurity>0</DocSecurity>
  <Lines>10</Lines>
  <Paragraphs>2</Paragraphs>
  <ScaleCrop>false</ScaleCrop>
  <Company>Grizli777</Company>
  <LinksUpToDate>false</LinksUpToDate>
  <CharactersWithSpaces>1431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drsalih</dc:creator>
  <cp:lastModifiedBy>drsalih</cp:lastModifiedBy>
  <cp:revision>1</cp:revision>
  <dcterms:created xsi:type="dcterms:W3CDTF">2010-09-21T10:26:00Z</dcterms:created>
  <dcterms:modified xsi:type="dcterms:W3CDTF">2010-09-21T10:28:00Z</dcterms:modified>
</cp:coreProperties>
</file>