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8A" w:rsidRPr="005D4FE0" w:rsidRDefault="002D368A" w:rsidP="002D368A">
      <w:pPr>
        <w:spacing w:after="0"/>
        <w:jc w:val="center"/>
        <w:rPr>
          <w:rFonts w:ascii="Arial" w:hAnsi="Arial" w:cs="Arial"/>
        </w:rPr>
      </w:pPr>
    </w:p>
    <w:p w:rsidR="002D368A" w:rsidRPr="005D4FE0" w:rsidRDefault="002D368A" w:rsidP="002D368A">
      <w:pPr>
        <w:spacing w:after="0"/>
        <w:jc w:val="center"/>
        <w:rPr>
          <w:rFonts w:ascii="Arial" w:hAnsi="Arial" w:cs="Arial"/>
        </w:rPr>
      </w:pPr>
    </w:p>
    <w:p w:rsidR="002D368A" w:rsidRPr="005D4FE0" w:rsidRDefault="002D368A" w:rsidP="002D368A">
      <w:pPr>
        <w:spacing w:after="0"/>
        <w:jc w:val="center"/>
        <w:rPr>
          <w:rFonts w:ascii="Arial" w:hAnsi="Arial" w:cs="Arial"/>
        </w:rPr>
      </w:pPr>
    </w:p>
    <w:p w:rsidR="002D368A" w:rsidRPr="005D4FE0" w:rsidRDefault="002D368A" w:rsidP="002D368A">
      <w:pPr>
        <w:spacing w:after="0"/>
        <w:jc w:val="center"/>
        <w:rPr>
          <w:rFonts w:ascii="Arial" w:hAnsi="Arial" w:cs="Arial"/>
        </w:rPr>
      </w:pPr>
    </w:p>
    <w:p w:rsidR="002D368A" w:rsidRPr="005D4FE0" w:rsidRDefault="002D368A" w:rsidP="002D368A">
      <w:pPr>
        <w:spacing w:after="0"/>
        <w:jc w:val="center"/>
        <w:rPr>
          <w:rFonts w:ascii="Arial" w:hAnsi="Arial" w:cs="Arial"/>
        </w:rPr>
      </w:pPr>
    </w:p>
    <w:p w:rsidR="002D368A" w:rsidRPr="005D4FE0" w:rsidRDefault="002D368A" w:rsidP="002D368A">
      <w:pPr>
        <w:spacing w:after="0"/>
        <w:jc w:val="center"/>
        <w:rPr>
          <w:rFonts w:ascii="Arial" w:hAnsi="Arial" w:cs="Arial"/>
        </w:rPr>
      </w:pPr>
    </w:p>
    <w:p w:rsidR="002D368A" w:rsidRPr="005D4FE0" w:rsidRDefault="002D368A" w:rsidP="002D368A">
      <w:pPr>
        <w:spacing w:after="0"/>
        <w:jc w:val="center"/>
        <w:rPr>
          <w:rFonts w:ascii="Arial" w:hAnsi="Arial" w:cs="Arial"/>
        </w:rPr>
      </w:pPr>
    </w:p>
    <w:p w:rsidR="002D368A" w:rsidRPr="009551E2" w:rsidRDefault="002D368A" w:rsidP="002D368A">
      <w:pPr>
        <w:spacing w:after="0"/>
        <w:jc w:val="center"/>
        <w:rPr>
          <w:rFonts w:ascii="Arial" w:hAnsi="Arial" w:cs="Arial"/>
          <w:sz w:val="24"/>
          <w:szCs w:val="24"/>
        </w:rPr>
      </w:pPr>
      <w:r w:rsidRPr="009551E2">
        <w:rPr>
          <w:rFonts w:ascii="Arial" w:hAnsi="Arial" w:cs="Arial"/>
          <w:sz w:val="24"/>
          <w:szCs w:val="24"/>
        </w:rPr>
        <w:t>ORIGINAL ARTICLE</w:t>
      </w:r>
    </w:p>
    <w:p w:rsidR="002D368A" w:rsidRPr="009551E2" w:rsidRDefault="002D368A" w:rsidP="002D368A">
      <w:pPr>
        <w:spacing w:after="0"/>
        <w:jc w:val="center"/>
        <w:rPr>
          <w:rFonts w:ascii="Arial" w:hAnsi="Arial" w:cs="Arial"/>
          <w:b/>
          <w:sz w:val="24"/>
          <w:szCs w:val="24"/>
        </w:rPr>
      </w:pPr>
    </w:p>
    <w:p w:rsidR="002D368A" w:rsidRPr="009551E2" w:rsidRDefault="002D368A" w:rsidP="002D368A">
      <w:pPr>
        <w:spacing w:after="0" w:line="480" w:lineRule="auto"/>
        <w:jc w:val="center"/>
        <w:rPr>
          <w:rFonts w:ascii="Arial" w:hAnsi="Arial" w:cs="Arial"/>
          <w:b/>
          <w:sz w:val="24"/>
          <w:szCs w:val="24"/>
        </w:rPr>
      </w:pPr>
      <w:r w:rsidRPr="009551E2">
        <w:rPr>
          <w:rFonts w:ascii="Arial" w:hAnsi="Arial" w:cs="Arial"/>
          <w:b/>
          <w:sz w:val="24"/>
          <w:szCs w:val="24"/>
        </w:rPr>
        <w:t xml:space="preserve">The Effect of Daily </w:t>
      </w:r>
      <w:proofErr w:type="spellStart"/>
      <w:r w:rsidRPr="009551E2">
        <w:rPr>
          <w:rFonts w:ascii="Arial" w:hAnsi="Arial" w:cs="Arial"/>
          <w:b/>
          <w:sz w:val="24"/>
          <w:szCs w:val="24"/>
        </w:rPr>
        <w:t>Chlorhexidine</w:t>
      </w:r>
      <w:proofErr w:type="spellEnd"/>
      <w:r w:rsidRPr="009551E2">
        <w:rPr>
          <w:rFonts w:ascii="Arial" w:hAnsi="Arial" w:cs="Arial"/>
          <w:b/>
          <w:sz w:val="24"/>
          <w:szCs w:val="24"/>
        </w:rPr>
        <w:t xml:space="preserve"> Baths on Nosocomial Methicillin-resistant </w:t>
      </w:r>
      <w:r w:rsidRPr="009551E2">
        <w:rPr>
          <w:rFonts w:ascii="Arial" w:hAnsi="Arial" w:cs="Arial"/>
          <w:b/>
          <w:i/>
          <w:sz w:val="24"/>
          <w:szCs w:val="24"/>
        </w:rPr>
        <w:t xml:space="preserve">Staphylococcus </w:t>
      </w:r>
      <w:proofErr w:type="spellStart"/>
      <w:r w:rsidRPr="009551E2">
        <w:rPr>
          <w:rFonts w:ascii="Arial" w:hAnsi="Arial" w:cs="Arial"/>
          <w:b/>
          <w:i/>
          <w:sz w:val="24"/>
          <w:szCs w:val="24"/>
        </w:rPr>
        <w:t>aureus</w:t>
      </w:r>
      <w:proofErr w:type="spellEnd"/>
      <w:r w:rsidRPr="009551E2">
        <w:rPr>
          <w:rFonts w:ascii="Arial" w:hAnsi="Arial" w:cs="Arial"/>
          <w:b/>
          <w:i/>
          <w:sz w:val="24"/>
          <w:szCs w:val="24"/>
        </w:rPr>
        <w:t xml:space="preserve"> </w:t>
      </w:r>
      <w:r w:rsidRPr="009551E2">
        <w:rPr>
          <w:rFonts w:ascii="Arial" w:hAnsi="Arial" w:cs="Arial"/>
          <w:b/>
          <w:sz w:val="24"/>
          <w:szCs w:val="24"/>
        </w:rPr>
        <w:t>Infection in MRSA-colonized Patients Admitted to General Wards</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Willis GC</w:t>
      </w:r>
      <w:r w:rsidRPr="009551E2">
        <w:rPr>
          <w:rFonts w:ascii="Arial" w:hAnsi="Arial" w:cs="Arial"/>
          <w:sz w:val="24"/>
          <w:szCs w:val="24"/>
          <w:vertAlign w:val="superscript"/>
        </w:rPr>
        <w:t>1</w:t>
      </w:r>
      <w:r w:rsidR="008A18F2" w:rsidRPr="009551E2">
        <w:rPr>
          <w:rFonts w:ascii="Arial" w:hAnsi="Arial" w:cs="Arial"/>
          <w:sz w:val="24"/>
          <w:szCs w:val="24"/>
          <w:vertAlign w:val="superscript"/>
        </w:rPr>
        <w:t>,</w:t>
      </w:r>
      <w:r w:rsidRPr="009551E2">
        <w:rPr>
          <w:rFonts w:ascii="Arial" w:hAnsi="Arial" w:cs="Arial"/>
          <w:sz w:val="24"/>
          <w:szCs w:val="24"/>
        </w:rPr>
        <w:t xml:space="preserve">, </w:t>
      </w:r>
      <w:proofErr w:type="spellStart"/>
      <w:r w:rsidRPr="009551E2">
        <w:rPr>
          <w:rFonts w:ascii="Arial" w:hAnsi="Arial" w:cs="Arial"/>
          <w:sz w:val="24"/>
          <w:szCs w:val="24"/>
        </w:rPr>
        <w:t>Ooi</w:t>
      </w:r>
      <w:proofErr w:type="spellEnd"/>
      <w:r w:rsidRPr="009551E2">
        <w:rPr>
          <w:rFonts w:ascii="Arial" w:hAnsi="Arial" w:cs="Arial"/>
          <w:sz w:val="24"/>
          <w:szCs w:val="24"/>
        </w:rPr>
        <w:t xml:space="preserve"> ST</w:t>
      </w:r>
      <w:r w:rsidRPr="009551E2">
        <w:rPr>
          <w:rFonts w:ascii="Arial" w:hAnsi="Arial" w:cs="Arial"/>
          <w:sz w:val="24"/>
          <w:szCs w:val="24"/>
          <w:vertAlign w:val="superscript"/>
        </w:rPr>
        <w:t>1</w:t>
      </w:r>
      <w:r w:rsidRPr="009551E2">
        <w:rPr>
          <w:rFonts w:ascii="Arial" w:hAnsi="Arial" w:cs="Arial"/>
          <w:sz w:val="24"/>
          <w:szCs w:val="24"/>
        </w:rPr>
        <w:t>,  Foo ML</w:t>
      </w:r>
      <w:r w:rsidRPr="009551E2">
        <w:rPr>
          <w:rFonts w:ascii="Arial" w:hAnsi="Arial" w:cs="Arial"/>
          <w:sz w:val="24"/>
          <w:szCs w:val="24"/>
          <w:vertAlign w:val="superscript"/>
        </w:rPr>
        <w:t>2</w:t>
      </w:r>
      <w:r w:rsidRPr="009551E2">
        <w:rPr>
          <w:rFonts w:ascii="Arial" w:hAnsi="Arial" w:cs="Arial"/>
          <w:sz w:val="24"/>
          <w:szCs w:val="24"/>
        </w:rPr>
        <w:t xml:space="preserve">, </w:t>
      </w:r>
      <w:proofErr w:type="spellStart"/>
      <w:r w:rsidRPr="009551E2">
        <w:rPr>
          <w:rFonts w:ascii="Arial" w:hAnsi="Arial" w:cs="Arial"/>
          <w:sz w:val="24"/>
          <w:szCs w:val="24"/>
        </w:rPr>
        <w:t>Ong</w:t>
      </w:r>
      <w:proofErr w:type="spellEnd"/>
      <w:r w:rsidRPr="009551E2">
        <w:rPr>
          <w:rFonts w:ascii="Arial" w:hAnsi="Arial" w:cs="Arial"/>
          <w:sz w:val="24"/>
          <w:szCs w:val="24"/>
        </w:rPr>
        <w:t xml:space="preserve"> PL</w:t>
      </w:r>
      <w:r w:rsidRPr="009551E2">
        <w:rPr>
          <w:rFonts w:ascii="Arial" w:hAnsi="Arial" w:cs="Arial"/>
          <w:sz w:val="24"/>
          <w:szCs w:val="24"/>
          <w:vertAlign w:val="superscript"/>
        </w:rPr>
        <w:t>2</w:t>
      </w:r>
      <w:r w:rsidRPr="009551E2">
        <w:rPr>
          <w:rFonts w:ascii="Arial" w:hAnsi="Arial" w:cs="Arial"/>
          <w:sz w:val="24"/>
          <w:szCs w:val="24"/>
        </w:rPr>
        <w:t>,</w:t>
      </w:r>
      <w:r w:rsidR="008A18F2" w:rsidRPr="009551E2">
        <w:rPr>
          <w:rFonts w:ascii="Arial" w:hAnsi="Arial" w:cs="Arial"/>
          <w:sz w:val="24"/>
          <w:szCs w:val="24"/>
        </w:rPr>
        <w:t xml:space="preserve"> </w:t>
      </w:r>
      <w:r w:rsidRPr="009551E2">
        <w:rPr>
          <w:rFonts w:ascii="Arial" w:hAnsi="Arial" w:cs="Arial"/>
          <w:sz w:val="24"/>
          <w:szCs w:val="24"/>
        </w:rPr>
        <w:t>Tan BC</w:t>
      </w:r>
      <w:r w:rsidRPr="009551E2">
        <w:rPr>
          <w:rFonts w:ascii="Arial" w:hAnsi="Arial" w:cs="Arial"/>
          <w:sz w:val="24"/>
          <w:szCs w:val="24"/>
          <w:vertAlign w:val="superscript"/>
        </w:rPr>
        <w:t>2</w:t>
      </w:r>
      <w:r w:rsidRPr="009551E2">
        <w:rPr>
          <w:rFonts w:ascii="Arial" w:hAnsi="Arial" w:cs="Arial"/>
          <w:sz w:val="24"/>
          <w:szCs w:val="24"/>
        </w:rPr>
        <w:t>, Chen YM</w:t>
      </w:r>
      <w:r w:rsidRPr="009551E2">
        <w:rPr>
          <w:rFonts w:ascii="Arial" w:hAnsi="Arial" w:cs="Arial"/>
          <w:sz w:val="24"/>
          <w:szCs w:val="24"/>
          <w:vertAlign w:val="superscript"/>
        </w:rPr>
        <w:t>2</w:t>
      </w:r>
      <w:r w:rsidRPr="009551E2">
        <w:rPr>
          <w:rFonts w:ascii="Arial" w:hAnsi="Arial" w:cs="Arial"/>
          <w:sz w:val="24"/>
          <w:szCs w:val="24"/>
        </w:rPr>
        <w:t>, Li DL</w:t>
      </w:r>
      <w:r w:rsidRPr="009551E2">
        <w:rPr>
          <w:rFonts w:ascii="Arial" w:hAnsi="Arial" w:cs="Arial"/>
          <w:sz w:val="24"/>
          <w:szCs w:val="24"/>
          <w:vertAlign w:val="superscript"/>
        </w:rPr>
        <w:t>2</w:t>
      </w:r>
      <w:r w:rsidRPr="009551E2">
        <w:rPr>
          <w:rFonts w:ascii="Arial" w:hAnsi="Arial" w:cs="Arial"/>
          <w:sz w:val="24"/>
          <w:szCs w:val="24"/>
        </w:rPr>
        <w:t xml:space="preserve">, </w:t>
      </w:r>
      <w:proofErr w:type="spellStart"/>
      <w:r w:rsidRPr="009551E2">
        <w:rPr>
          <w:rFonts w:ascii="Arial" w:hAnsi="Arial" w:cs="Arial"/>
          <w:sz w:val="24"/>
          <w:szCs w:val="24"/>
        </w:rPr>
        <w:t>Chng</w:t>
      </w:r>
      <w:proofErr w:type="spellEnd"/>
      <w:r w:rsidR="00C75FAF">
        <w:rPr>
          <w:rFonts w:ascii="Arial" w:hAnsi="Arial" w:cs="Arial"/>
          <w:sz w:val="24"/>
          <w:szCs w:val="24"/>
        </w:rPr>
        <w:t xml:space="preserve"> FLC</w:t>
      </w:r>
      <w:r w:rsidRPr="009551E2">
        <w:rPr>
          <w:rFonts w:ascii="Arial" w:hAnsi="Arial" w:cs="Arial"/>
          <w:sz w:val="24"/>
          <w:szCs w:val="24"/>
          <w:vertAlign w:val="superscript"/>
        </w:rPr>
        <w:t>2,3</w:t>
      </w:r>
    </w:p>
    <w:p w:rsidR="002D368A" w:rsidRPr="009551E2" w:rsidRDefault="002D368A" w:rsidP="002D368A">
      <w:pPr>
        <w:spacing w:after="0" w:line="480" w:lineRule="auto"/>
        <w:jc w:val="center"/>
        <w:rPr>
          <w:rFonts w:ascii="Arial" w:hAnsi="Arial" w:cs="Arial"/>
          <w:sz w:val="24"/>
          <w:szCs w:val="24"/>
        </w:rPr>
      </w:pPr>
      <w:r w:rsidRPr="009551E2">
        <w:rPr>
          <w:rFonts w:ascii="Arial" w:hAnsi="Arial" w:cs="Arial"/>
          <w:sz w:val="24"/>
          <w:szCs w:val="24"/>
          <w:vertAlign w:val="superscript"/>
        </w:rPr>
        <w:t xml:space="preserve">1 </w:t>
      </w:r>
      <w:r w:rsidRPr="009551E2">
        <w:rPr>
          <w:rFonts w:ascii="Arial" w:hAnsi="Arial" w:cs="Arial"/>
          <w:sz w:val="24"/>
          <w:szCs w:val="24"/>
        </w:rPr>
        <w:t xml:space="preserve">Dept. of Medicine, </w:t>
      </w:r>
      <w:proofErr w:type="spellStart"/>
      <w:r w:rsidRPr="009551E2">
        <w:rPr>
          <w:rFonts w:ascii="Arial" w:hAnsi="Arial" w:cs="Arial"/>
          <w:sz w:val="24"/>
          <w:szCs w:val="24"/>
        </w:rPr>
        <w:t>Khoo</w:t>
      </w:r>
      <w:proofErr w:type="spellEnd"/>
      <w:r w:rsidRPr="009551E2">
        <w:rPr>
          <w:rFonts w:ascii="Arial" w:hAnsi="Arial" w:cs="Arial"/>
          <w:sz w:val="24"/>
          <w:szCs w:val="24"/>
        </w:rPr>
        <w:t xml:space="preserve"> </w:t>
      </w:r>
      <w:proofErr w:type="spellStart"/>
      <w:r w:rsidRPr="009551E2">
        <w:rPr>
          <w:rFonts w:ascii="Arial" w:hAnsi="Arial" w:cs="Arial"/>
          <w:sz w:val="24"/>
          <w:szCs w:val="24"/>
        </w:rPr>
        <w:t>Teck</w:t>
      </w:r>
      <w:proofErr w:type="spellEnd"/>
      <w:r w:rsidRPr="009551E2">
        <w:rPr>
          <w:rFonts w:ascii="Arial" w:hAnsi="Arial" w:cs="Arial"/>
          <w:sz w:val="24"/>
          <w:szCs w:val="24"/>
        </w:rPr>
        <w:t xml:space="preserve"> </w:t>
      </w:r>
      <w:proofErr w:type="spellStart"/>
      <w:r w:rsidRPr="009551E2">
        <w:rPr>
          <w:rFonts w:ascii="Arial" w:hAnsi="Arial" w:cs="Arial"/>
          <w:sz w:val="24"/>
          <w:szCs w:val="24"/>
        </w:rPr>
        <w:t>Puat</w:t>
      </w:r>
      <w:proofErr w:type="spellEnd"/>
      <w:r w:rsidRPr="009551E2">
        <w:rPr>
          <w:rFonts w:ascii="Arial" w:hAnsi="Arial" w:cs="Arial"/>
          <w:sz w:val="24"/>
          <w:szCs w:val="24"/>
        </w:rPr>
        <w:t xml:space="preserve"> Hospital, Singapore, </w:t>
      </w:r>
      <w:r w:rsidRPr="009551E2">
        <w:rPr>
          <w:rFonts w:ascii="Arial" w:hAnsi="Arial" w:cs="Arial"/>
          <w:sz w:val="24"/>
          <w:szCs w:val="24"/>
          <w:vertAlign w:val="superscript"/>
        </w:rPr>
        <w:t>2</w:t>
      </w:r>
      <w:r w:rsidRPr="009551E2">
        <w:rPr>
          <w:rFonts w:ascii="Arial" w:hAnsi="Arial" w:cs="Arial"/>
          <w:sz w:val="24"/>
          <w:szCs w:val="24"/>
        </w:rPr>
        <w:t xml:space="preserve"> Dept. of Nursing, </w:t>
      </w:r>
      <w:proofErr w:type="spellStart"/>
      <w:r w:rsidRPr="009551E2">
        <w:rPr>
          <w:rFonts w:ascii="Arial" w:hAnsi="Arial" w:cs="Arial"/>
          <w:sz w:val="24"/>
          <w:szCs w:val="24"/>
        </w:rPr>
        <w:t>Khoo</w:t>
      </w:r>
      <w:proofErr w:type="spellEnd"/>
      <w:r w:rsidRPr="009551E2">
        <w:rPr>
          <w:rFonts w:ascii="Arial" w:hAnsi="Arial" w:cs="Arial"/>
          <w:sz w:val="24"/>
          <w:szCs w:val="24"/>
        </w:rPr>
        <w:t xml:space="preserve"> </w:t>
      </w:r>
      <w:proofErr w:type="spellStart"/>
      <w:r w:rsidRPr="009551E2">
        <w:rPr>
          <w:rFonts w:ascii="Arial" w:hAnsi="Arial" w:cs="Arial"/>
          <w:sz w:val="24"/>
          <w:szCs w:val="24"/>
        </w:rPr>
        <w:t>Teck</w:t>
      </w:r>
      <w:proofErr w:type="spellEnd"/>
      <w:r w:rsidRPr="009551E2">
        <w:rPr>
          <w:rFonts w:ascii="Arial" w:hAnsi="Arial" w:cs="Arial"/>
          <w:sz w:val="24"/>
          <w:szCs w:val="24"/>
        </w:rPr>
        <w:t xml:space="preserve"> </w:t>
      </w:r>
      <w:proofErr w:type="spellStart"/>
      <w:r w:rsidRPr="009551E2">
        <w:rPr>
          <w:rFonts w:ascii="Arial" w:hAnsi="Arial" w:cs="Arial"/>
          <w:sz w:val="24"/>
          <w:szCs w:val="24"/>
        </w:rPr>
        <w:t>Puat</w:t>
      </w:r>
      <w:proofErr w:type="spellEnd"/>
      <w:r w:rsidRPr="009551E2">
        <w:rPr>
          <w:rFonts w:ascii="Arial" w:hAnsi="Arial" w:cs="Arial"/>
          <w:sz w:val="24"/>
          <w:szCs w:val="24"/>
        </w:rPr>
        <w:t xml:space="preserve"> Hospital, Singapore, </w:t>
      </w:r>
      <w:r w:rsidRPr="009551E2">
        <w:rPr>
          <w:rFonts w:ascii="Arial" w:hAnsi="Arial" w:cs="Arial"/>
          <w:sz w:val="24"/>
          <w:szCs w:val="24"/>
          <w:vertAlign w:val="superscript"/>
        </w:rPr>
        <w:t>3</w:t>
      </w:r>
      <w:r w:rsidRPr="009551E2">
        <w:rPr>
          <w:rFonts w:ascii="Arial" w:hAnsi="Arial" w:cs="Arial"/>
          <w:sz w:val="24"/>
          <w:szCs w:val="24"/>
        </w:rPr>
        <w:t>Dept. of Nursing</w:t>
      </w:r>
      <w:r w:rsidR="008A18F2" w:rsidRPr="009551E2">
        <w:rPr>
          <w:rFonts w:ascii="Arial" w:hAnsi="Arial" w:cs="Arial"/>
          <w:sz w:val="24"/>
          <w:szCs w:val="24"/>
        </w:rPr>
        <w:t>,</w:t>
      </w:r>
      <w:r w:rsidRPr="009551E2">
        <w:rPr>
          <w:rFonts w:ascii="Arial" w:hAnsi="Arial" w:cs="Arial"/>
          <w:sz w:val="24"/>
          <w:szCs w:val="24"/>
        </w:rPr>
        <w:t xml:space="preserve"> </w:t>
      </w:r>
      <w:proofErr w:type="spellStart"/>
      <w:r w:rsidR="00C75FAF">
        <w:rPr>
          <w:rFonts w:ascii="Arial" w:hAnsi="Arial" w:cs="Arial"/>
          <w:sz w:val="24"/>
          <w:szCs w:val="24"/>
        </w:rPr>
        <w:t>Yishun</w:t>
      </w:r>
      <w:proofErr w:type="spellEnd"/>
      <w:r w:rsidR="00C75FAF">
        <w:rPr>
          <w:rFonts w:ascii="Arial" w:hAnsi="Arial" w:cs="Arial"/>
          <w:sz w:val="24"/>
          <w:szCs w:val="24"/>
        </w:rPr>
        <w:t xml:space="preserve"> Community Hospital</w:t>
      </w:r>
      <w:r w:rsidRPr="009551E2">
        <w:rPr>
          <w:rFonts w:ascii="Arial" w:hAnsi="Arial" w:cs="Arial"/>
          <w:sz w:val="24"/>
          <w:szCs w:val="24"/>
        </w:rPr>
        <w:t>, Singapore</w:t>
      </w:r>
    </w:p>
    <w:p w:rsidR="002D368A" w:rsidRPr="009551E2" w:rsidRDefault="002D368A" w:rsidP="002D368A">
      <w:pPr>
        <w:spacing w:after="0" w:line="480" w:lineRule="auto"/>
        <w:jc w:val="center"/>
        <w:rPr>
          <w:rFonts w:ascii="Arial" w:hAnsi="Arial" w:cs="Arial"/>
          <w:sz w:val="24"/>
          <w:szCs w:val="24"/>
        </w:rPr>
      </w:pPr>
    </w:p>
    <w:p w:rsidR="002D368A" w:rsidRPr="009551E2" w:rsidRDefault="002D368A" w:rsidP="002D368A">
      <w:pPr>
        <w:spacing w:after="0" w:line="480" w:lineRule="auto"/>
        <w:rPr>
          <w:rFonts w:ascii="Arial" w:hAnsi="Arial" w:cs="Arial"/>
          <w:sz w:val="24"/>
          <w:szCs w:val="24"/>
        </w:rPr>
      </w:pPr>
      <w:r w:rsidRPr="009551E2">
        <w:rPr>
          <w:rFonts w:ascii="Arial" w:hAnsi="Arial" w:cs="Arial"/>
          <w:b/>
          <w:sz w:val="24"/>
          <w:szCs w:val="24"/>
        </w:rPr>
        <w:t>Body of text word count:</w:t>
      </w:r>
      <w:r w:rsidR="00A66BFF" w:rsidRPr="009551E2">
        <w:rPr>
          <w:rFonts w:ascii="Arial" w:hAnsi="Arial" w:cs="Arial"/>
          <w:sz w:val="24"/>
          <w:szCs w:val="24"/>
        </w:rPr>
        <w:t xml:space="preserve"> 2</w:t>
      </w:r>
      <w:r w:rsidR="00AE0260">
        <w:rPr>
          <w:rFonts w:ascii="Arial" w:hAnsi="Arial" w:cs="Arial"/>
          <w:sz w:val="24"/>
          <w:szCs w:val="24"/>
        </w:rPr>
        <w:t>3</w:t>
      </w:r>
      <w:r w:rsidR="00311465">
        <w:rPr>
          <w:rFonts w:ascii="Arial" w:hAnsi="Arial" w:cs="Arial"/>
          <w:sz w:val="24"/>
          <w:szCs w:val="24"/>
        </w:rPr>
        <w:t>23</w:t>
      </w:r>
      <w:r w:rsidRPr="009551E2">
        <w:rPr>
          <w:rFonts w:ascii="Arial" w:hAnsi="Arial" w:cs="Arial"/>
          <w:sz w:val="24"/>
          <w:szCs w:val="24"/>
        </w:rPr>
        <w:t xml:space="preserve"> words</w:t>
      </w:r>
    </w:p>
    <w:p w:rsidR="002D368A" w:rsidRPr="009551E2" w:rsidRDefault="002D368A" w:rsidP="002D368A">
      <w:pPr>
        <w:spacing w:after="0" w:line="480" w:lineRule="auto"/>
        <w:rPr>
          <w:rFonts w:ascii="Arial" w:hAnsi="Arial" w:cs="Arial"/>
          <w:b/>
          <w:sz w:val="24"/>
          <w:szCs w:val="24"/>
        </w:rPr>
      </w:pPr>
      <w:r w:rsidRPr="009551E2">
        <w:rPr>
          <w:rFonts w:ascii="Arial" w:hAnsi="Arial" w:cs="Arial"/>
          <w:b/>
          <w:sz w:val="24"/>
          <w:szCs w:val="24"/>
        </w:rPr>
        <w:t>Abbreviated Title:</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 xml:space="preserve">CHG Baths and General Wards MRSA Infections </w:t>
      </w:r>
    </w:p>
    <w:p w:rsidR="002D368A" w:rsidRPr="009551E2" w:rsidRDefault="002D368A" w:rsidP="002D368A">
      <w:pPr>
        <w:spacing w:after="0" w:line="480" w:lineRule="auto"/>
        <w:rPr>
          <w:rFonts w:ascii="Arial" w:hAnsi="Arial" w:cs="Arial"/>
          <w:b/>
          <w:sz w:val="24"/>
          <w:szCs w:val="24"/>
        </w:rPr>
      </w:pPr>
      <w:r w:rsidRPr="009551E2">
        <w:rPr>
          <w:rFonts w:ascii="Arial" w:hAnsi="Arial" w:cs="Arial"/>
          <w:b/>
          <w:sz w:val="24"/>
          <w:szCs w:val="24"/>
        </w:rPr>
        <w:t xml:space="preserve">Correspondence: </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Dr. Christopher Willis</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Dept. of Medicine</w:t>
      </w:r>
    </w:p>
    <w:p w:rsidR="002D368A" w:rsidRPr="009551E2" w:rsidRDefault="002D368A" w:rsidP="002D368A">
      <w:pPr>
        <w:spacing w:after="0" w:line="480" w:lineRule="auto"/>
        <w:rPr>
          <w:rFonts w:ascii="Arial" w:hAnsi="Arial" w:cs="Arial"/>
          <w:sz w:val="24"/>
          <w:szCs w:val="24"/>
        </w:rPr>
      </w:pPr>
      <w:proofErr w:type="spellStart"/>
      <w:r w:rsidRPr="009551E2">
        <w:rPr>
          <w:rFonts w:ascii="Arial" w:hAnsi="Arial" w:cs="Arial"/>
          <w:sz w:val="24"/>
          <w:szCs w:val="24"/>
        </w:rPr>
        <w:t>Khoo</w:t>
      </w:r>
      <w:proofErr w:type="spellEnd"/>
      <w:r w:rsidRPr="009551E2">
        <w:rPr>
          <w:rFonts w:ascii="Arial" w:hAnsi="Arial" w:cs="Arial"/>
          <w:sz w:val="24"/>
          <w:szCs w:val="24"/>
        </w:rPr>
        <w:t xml:space="preserve"> </w:t>
      </w:r>
      <w:proofErr w:type="spellStart"/>
      <w:r w:rsidRPr="009551E2">
        <w:rPr>
          <w:rFonts w:ascii="Arial" w:hAnsi="Arial" w:cs="Arial"/>
          <w:sz w:val="24"/>
          <w:szCs w:val="24"/>
        </w:rPr>
        <w:t>Teck</w:t>
      </w:r>
      <w:proofErr w:type="spellEnd"/>
      <w:r w:rsidRPr="009551E2">
        <w:rPr>
          <w:rFonts w:ascii="Arial" w:hAnsi="Arial" w:cs="Arial"/>
          <w:sz w:val="24"/>
          <w:szCs w:val="24"/>
        </w:rPr>
        <w:t xml:space="preserve"> </w:t>
      </w:r>
      <w:proofErr w:type="spellStart"/>
      <w:r w:rsidRPr="009551E2">
        <w:rPr>
          <w:rFonts w:ascii="Arial" w:hAnsi="Arial" w:cs="Arial"/>
          <w:sz w:val="24"/>
          <w:szCs w:val="24"/>
        </w:rPr>
        <w:t>Puat</w:t>
      </w:r>
      <w:proofErr w:type="spellEnd"/>
      <w:r w:rsidRPr="009551E2">
        <w:rPr>
          <w:rFonts w:ascii="Arial" w:hAnsi="Arial" w:cs="Arial"/>
          <w:sz w:val="24"/>
          <w:szCs w:val="24"/>
        </w:rPr>
        <w:t xml:space="preserve"> Hospital</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 xml:space="preserve">90 </w:t>
      </w:r>
      <w:proofErr w:type="spellStart"/>
      <w:r w:rsidRPr="009551E2">
        <w:rPr>
          <w:rFonts w:ascii="Arial" w:hAnsi="Arial" w:cs="Arial"/>
          <w:sz w:val="24"/>
          <w:szCs w:val="24"/>
        </w:rPr>
        <w:t>Yishun</w:t>
      </w:r>
      <w:proofErr w:type="spellEnd"/>
      <w:r w:rsidRPr="009551E2">
        <w:rPr>
          <w:rFonts w:ascii="Arial" w:hAnsi="Arial" w:cs="Arial"/>
          <w:sz w:val="24"/>
          <w:szCs w:val="24"/>
        </w:rPr>
        <w:t xml:space="preserve"> Central, Singapore 768828</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Tel: (65) 97769845</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Email: willis.george@alexandrahealth.com.sg</w:t>
      </w:r>
    </w:p>
    <w:p w:rsidR="002D368A" w:rsidRPr="009551E2" w:rsidRDefault="002D368A" w:rsidP="002D368A">
      <w:pPr>
        <w:spacing w:after="0"/>
        <w:jc w:val="center"/>
        <w:rPr>
          <w:rFonts w:ascii="Arial" w:hAnsi="Arial" w:cs="Arial"/>
          <w:sz w:val="24"/>
          <w:szCs w:val="24"/>
        </w:rPr>
      </w:pPr>
    </w:p>
    <w:p w:rsidR="002D368A" w:rsidRPr="009551E2" w:rsidRDefault="002D368A" w:rsidP="002D368A">
      <w:pPr>
        <w:spacing w:after="0" w:line="480" w:lineRule="auto"/>
        <w:jc w:val="both"/>
        <w:rPr>
          <w:rFonts w:ascii="Arial" w:hAnsi="Arial" w:cs="Arial"/>
          <w:b/>
          <w:sz w:val="24"/>
          <w:szCs w:val="24"/>
        </w:rPr>
      </w:pPr>
    </w:p>
    <w:p w:rsidR="002D368A" w:rsidRPr="009551E2" w:rsidRDefault="005D4FE0" w:rsidP="002D368A">
      <w:pPr>
        <w:spacing w:after="0" w:line="480" w:lineRule="auto"/>
        <w:jc w:val="both"/>
        <w:rPr>
          <w:rFonts w:ascii="Arial" w:hAnsi="Arial" w:cs="Arial"/>
          <w:b/>
          <w:sz w:val="24"/>
          <w:szCs w:val="24"/>
        </w:rPr>
      </w:pPr>
      <w:r w:rsidRPr="009551E2">
        <w:rPr>
          <w:rFonts w:ascii="Arial" w:hAnsi="Arial" w:cs="Arial"/>
          <w:b/>
          <w:sz w:val="24"/>
          <w:szCs w:val="24"/>
        </w:rPr>
        <w:lastRenderedPageBreak/>
        <w:t>ABSTRACT</w:t>
      </w:r>
    </w:p>
    <w:p w:rsidR="002D368A" w:rsidRPr="009551E2" w:rsidRDefault="002D368A" w:rsidP="002D368A">
      <w:pPr>
        <w:spacing w:after="0" w:line="480" w:lineRule="auto"/>
        <w:rPr>
          <w:rFonts w:ascii="Arial" w:hAnsi="Arial" w:cs="Arial"/>
          <w:sz w:val="24"/>
          <w:szCs w:val="24"/>
        </w:rPr>
      </w:pPr>
      <w:r w:rsidRPr="009551E2">
        <w:rPr>
          <w:rFonts w:ascii="Arial" w:hAnsi="Arial" w:cs="Arial"/>
          <w:sz w:val="24"/>
          <w:szCs w:val="24"/>
        </w:rPr>
        <w:t xml:space="preserve">Compared to the Intensive Care Unit setting, relatively little data has been published on the benefits of daily </w:t>
      </w:r>
      <w:proofErr w:type="spellStart"/>
      <w:r w:rsidRPr="009551E2">
        <w:rPr>
          <w:rFonts w:ascii="Arial" w:hAnsi="Arial" w:cs="Arial"/>
          <w:sz w:val="24"/>
          <w:szCs w:val="24"/>
        </w:rPr>
        <w:t>Chlorhexidine</w:t>
      </w:r>
      <w:proofErr w:type="spellEnd"/>
      <w:r w:rsidRPr="009551E2">
        <w:rPr>
          <w:rFonts w:ascii="Arial" w:hAnsi="Arial" w:cs="Arial"/>
          <w:sz w:val="24"/>
          <w:szCs w:val="24"/>
        </w:rPr>
        <w:t xml:space="preserve"> </w:t>
      </w:r>
      <w:proofErr w:type="spellStart"/>
      <w:r w:rsidRPr="009551E2">
        <w:rPr>
          <w:rFonts w:ascii="Arial" w:hAnsi="Arial" w:cs="Arial"/>
          <w:sz w:val="24"/>
          <w:szCs w:val="24"/>
        </w:rPr>
        <w:t>gluconate</w:t>
      </w:r>
      <w:proofErr w:type="spellEnd"/>
      <w:r w:rsidRPr="009551E2">
        <w:rPr>
          <w:rFonts w:ascii="Arial" w:hAnsi="Arial" w:cs="Arial"/>
          <w:sz w:val="24"/>
          <w:szCs w:val="24"/>
        </w:rPr>
        <w:t xml:space="preserve"> (CHG) baths in infection prevention on general wards. To contribute to our knowledge of this infection prevention strategy we report three years of cumulative data from </w:t>
      </w:r>
      <w:r w:rsidR="0070014A" w:rsidRPr="009551E2">
        <w:rPr>
          <w:rFonts w:ascii="Arial" w:hAnsi="Arial" w:cs="Arial"/>
          <w:sz w:val="24"/>
          <w:szCs w:val="24"/>
        </w:rPr>
        <w:t>a 550-bed general hospital in Singapore</w:t>
      </w:r>
      <w:r w:rsidRPr="009551E2">
        <w:rPr>
          <w:rFonts w:ascii="Arial" w:hAnsi="Arial" w:cs="Arial"/>
          <w:sz w:val="24"/>
          <w:szCs w:val="24"/>
        </w:rPr>
        <w:t>. Our hospital infection control policy mandates Methicillin-resistant</w:t>
      </w:r>
      <w:r w:rsidRPr="009551E2">
        <w:rPr>
          <w:rFonts w:ascii="Arial" w:hAnsi="Arial" w:cs="Arial"/>
          <w:i/>
          <w:sz w:val="24"/>
          <w:szCs w:val="24"/>
        </w:rPr>
        <w:t xml:space="preserve"> Staphylococcus </w:t>
      </w:r>
      <w:proofErr w:type="spellStart"/>
      <w:r w:rsidRPr="009551E2">
        <w:rPr>
          <w:rFonts w:ascii="Arial" w:hAnsi="Arial" w:cs="Arial"/>
          <w:i/>
          <w:sz w:val="24"/>
          <w:szCs w:val="24"/>
        </w:rPr>
        <w:t>aureus</w:t>
      </w:r>
      <w:proofErr w:type="spellEnd"/>
      <w:r w:rsidRPr="009551E2">
        <w:rPr>
          <w:rFonts w:ascii="Arial" w:hAnsi="Arial" w:cs="Arial"/>
          <w:i/>
          <w:sz w:val="24"/>
          <w:szCs w:val="24"/>
        </w:rPr>
        <w:t xml:space="preserve"> </w:t>
      </w:r>
      <w:r w:rsidRPr="009551E2">
        <w:rPr>
          <w:rFonts w:ascii="Arial" w:hAnsi="Arial" w:cs="Arial"/>
          <w:sz w:val="24"/>
          <w:szCs w:val="24"/>
        </w:rPr>
        <w:t xml:space="preserve">(MRSA) entry-screening for all cases admitted to hospital. Positive cases are isolated or </w:t>
      </w:r>
      <w:proofErr w:type="spellStart"/>
      <w:r w:rsidRPr="009551E2">
        <w:rPr>
          <w:rFonts w:ascii="Arial" w:hAnsi="Arial" w:cs="Arial"/>
          <w:sz w:val="24"/>
          <w:szCs w:val="24"/>
        </w:rPr>
        <w:t>cohorted</w:t>
      </w:r>
      <w:proofErr w:type="spellEnd"/>
      <w:r w:rsidRPr="009551E2">
        <w:rPr>
          <w:rFonts w:ascii="Arial" w:hAnsi="Arial" w:cs="Arial"/>
          <w:sz w:val="24"/>
          <w:szCs w:val="24"/>
        </w:rPr>
        <w:t xml:space="preserve"> with appropriate contact precautions. In addition positive cases receive daily 4% CHG baths throughout their stay. We compare the rates of hospital-acquired MRSA (HA-MRSA) infection in the cohort that screened MRSA-positive (and hence received daily CHG baths) with the cohort </w:t>
      </w:r>
      <w:r w:rsidR="00C43737">
        <w:rPr>
          <w:rFonts w:ascii="Arial" w:hAnsi="Arial" w:cs="Arial"/>
          <w:sz w:val="24"/>
          <w:szCs w:val="24"/>
        </w:rPr>
        <w:t xml:space="preserve">in </w:t>
      </w:r>
      <w:r w:rsidRPr="009551E2">
        <w:rPr>
          <w:rFonts w:ascii="Arial" w:hAnsi="Arial" w:cs="Arial"/>
          <w:sz w:val="24"/>
          <w:szCs w:val="24"/>
        </w:rPr>
        <w:t>who</w:t>
      </w:r>
      <w:r w:rsidR="00C43737">
        <w:rPr>
          <w:rFonts w:ascii="Arial" w:hAnsi="Arial" w:cs="Arial"/>
          <w:sz w:val="24"/>
          <w:szCs w:val="24"/>
        </w:rPr>
        <w:t>m</w:t>
      </w:r>
      <w:r w:rsidRPr="009551E2">
        <w:rPr>
          <w:rFonts w:ascii="Arial" w:hAnsi="Arial" w:cs="Arial"/>
          <w:sz w:val="24"/>
          <w:szCs w:val="24"/>
        </w:rPr>
        <w:t xml:space="preserve"> MRSA</w:t>
      </w:r>
      <w:r w:rsidR="00C43737">
        <w:rPr>
          <w:rFonts w:ascii="Arial" w:hAnsi="Arial" w:cs="Arial"/>
          <w:sz w:val="24"/>
          <w:szCs w:val="24"/>
        </w:rPr>
        <w:t xml:space="preserve"> was not detected</w:t>
      </w:r>
      <w:r w:rsidRPr="009551E2">
        <w:rPr>
          <w:rFonts w:ascii="Arial" w:hAnsi="Arial" w:cs="Arial"/>
          <w:sz w:val="24"/>
          <w:szCs w:val="24"/>
        </w:rPr>
        <w:t xml:space="preserve"> and hence did not receive CHG baths. Of 4598 screen-positive cases only 4 developed HA-MRSA infection. This compares to 36 cases of HA-MRSA infection among 5391 patients who we estimate were undetected MRSA-carriers, either because they missed screening, or screened false-negative, or acquired MRSA during their hospital stay. MRSA-colonized patients receiving daily CHG baths while in hospital were significantly less likely to develop HA-MRSA infection (OR = 0.129; P = 0.0001; 95% </w:t>
      </w:r>
      <w:proofErr w:type="gramStart"/>
      <w:r w:rsidRPr="009551E2">
        <w:rPr>
          <w:rFonts w:ascii="Arial" w:hAnsi="Arial" w:cs="Arial"/>
          <w:sz w:val="24"/>
          <w:szCs w:val="24"/>
        </w:rPr>
        <w:t>CI  0.046</w:t>
      </w:r>
      <w:proofErr w:type="gramEnd"/>
      <w:r w:rsidRPr="009551E2">
        <w:rPr>
          <w:rFonts w:ascii="Arial" w:hAnsi="Arial" w:cs="Arial"/>
          <w:sz w:val="24"/>
          <w:szCs w:val="24"/>
        </w:rPr>
        <w:t>-0.36; NNT = 172))</w:t>
      </w:r>
      <w:r w:rsidR="0070014A" w:rsidRPr="009551E2">
        <w:rPr>
          <w:rFonts w:ascii="Arial" w:hAnsi="Arial" w:cs="Arial"/>
          <w:sz w:val="24"/>
          <w:szCs w:val="24"/>
        </w:rPr>
        <w:t>. We conclude that</w:t>
      </w:r>
      <w:r w:rsidRPr="009551E2">
        <w:rPr>
          <w:rFonts w:ascii="Arial" w:hAnsi="Arial" w:cs="Arial"/>
          <w:sz w:val="24"/>
          <w:szCs w:val="24"/>
        </w:rPr>
        <w:t xml:space="preserve"> General Ward patients who screen MRSA-positive on admission and who receive daily CHG baths throughout hospitalization have a significantly lower rate of HA-MRSA infection compared to patients who screen MRSA-negative and who do not receive such CHG baths.</w:t>
      </w:r>
    </w:p>
    <w:p w:rsidR="0070014A" w:rsidRPr="009551E2" w:rsidRDefault="0070014A" w:rsidP="002D368A">
      <w:pPr>
        <w:spacing w:after="0" w:line="480" w:lineRule="auto"/>
        <w:rPr>
          <w:rFonts w:ascii="Arial" w:hAnsi="Arial" w:cs="Arial"/>
          <w:sz w:val="24"/>
          <w:szCs w:val="24"/>
        </w:rPr>
      </w:pPr>
    </w:p>
    <w:p w:rsidR="0070014A" w:rsidRPr="009551E2" w:rsidRDefault="0070014A" w:rsidP="002D368A">
      <w:pPr>
        <w:spacing w:after="0" w:line="480" w:lineRule="auto"/>
        <w:rPr>
          <w:rFonts w:ascii="Arial" w:hAnsi="Arial" w:cs="Arial"/>
          <w:sz w:val="24"/>
          <w:szCs w:val="24"/>
        </w:rPr>
      </w:pPr>
      <w:proofErr w:type="spellStart"/>
      <w:r w:rsidRPr="009551E2">
        <w:rPr>
          <w:rFonts w:ascii="Arial" w:hAnsi="Arial" w:cs="Arial"/>
          <w:sz w:val="24"/>
          <w:szCs w:val="24"/>
        </w:rPr>
        <w:t>MeSH</w:t>
      </w:r>
      <w:proofErr w:type="spellEnd"/>
      <w:r w:rsidRPr="009551E2">
        <w:rPr>
          <w:rFonts w:ascii="Arial" w:hAnsi="Arial" w:cs="Arial"/>
          <w:sz w:val="24"/>
          <w:szCs w:val="24"/>
        </w:rPr>
        <w:t xml:space="preserve"> keywords: HA-MRSA infection, daily CHG baths, General Wards</w:t>
      </w:r>
    </w:p>
    <w:p w:rsidR="0070014A" w:rsidRPr="009551E2" w:rsidRDefault="00011040" w:rsidP="002D368A">
      <w:pPr>
        <w:spacing w:after="0" w:line="480" w:lineRule="auto"/>
        <w:rPr>
          <w:rFonts w:ascii="Arial" w:hAnsi="Arial" w:cs="Arial"/>
          <w:b/>
          <w:sz w:val="24"/>
          <w:szCs w:val="24"/>
        </w:rPr>
      </w:pPr>
      <w:r w:rsidRPr="009551E2">
        <w:rPr>
          <w:rFonts w:ascii="Arial" w:hAnsi="Arial" w:cs="Arial"/>
          <w:b/>
          <w:sz w:val="24"/>
          <w:szCs w:val="24"/>
        </w:rPr>
        <w:lastRenderedPageBreak/>
        <w:t>INTRODUCTION</w:t>
      </w:r>
    </w:p>
    <w:p w:rsidR="00011040" w:rsidRPr="009551E2" w:rsidRDefault="00011040" w:rsidP="002D368A">
      <w:pPr>
        <w:spacing w:after="0" w:line="480" w:lineRule="auto"/>
        <w:rPr>
          <w:rFonts w:ascii="Arial" w:hAnsi="Arial" w:cs="Arial"/>
          <w:sz w:val="24"/>
          <w:szCs w:val="24"/>
        </w:rPr>
      </w:pPr>
      <w:r w:rsidRPr="009551E2">
        <w:rPr>
          <w:rFonts w:ascii="Arial" w:hAnsi="Arial" w:cs="Arial"/>
          <w:sz w:val="24"/>
          <w:szCs w:val="24"/>
        </w:rPr>
        <w:t xml:space="preserve">Compared to the Intensive Care Unit (ICU) setting, relatively little has been published on the benefits of daily </w:t>
      </w:r>
      <w:proofErr w:type="spellStart"/>
      <w:r w:rsidRPr="009551E2">
        <w:rPr>
          <w:rFonts w:ascii="Arial" w:hAnsi="Arial" w:cs="Arial"/>
          <w:sz w:val="24"/>
          <w:szCs w:val="24"/>
        </w:rPr>
        <w:t>chlorhexidine</w:t>
      </w:r>
      <w:proofErr w:type="spellEnd"/>
      <w:r w:rsidRPr="009551E2">
        <w:rPr>
          <w:rFonts w:ascii="Arial" w:hAnsi="Arial" w:cs="Arial"/>
          <w:sz w:val="24"/>
          <w:szCs w:val="24"/>
        </w:rPr>
        <w:t xml:space="preserve"> </w:t>
      </w:r>
      <w:proofErr w:type="spellStart"/>
      <w:r w:rsidRPr="009551E2">
        <w:rPr>
          <w:rFonts w:ascii="Arial" w:hAnsi="Arial" w:cs="Arial"/>
          <w:sz w:val="24"/>
          <w:szCs w:val="24"/>
        </w:rPr>
        <w:t>gluconate</w:t>
      </w:r>
      <w:proofErr w:type="spellEnd"/>
      <w:r w:rsidRPr="009551E2">
        <w:rPr>
          <w:rFonts w:ascii="Arial" w:hAnsi="Arial" w:cs="Arial"/>
          <w:sz w:val="24"/>
          <w:szCs w:val="24"/>
        </w:rPr>
        <w:t xml:space="preserve"> (CHG) baths in infection prevention on general wards. </w:t>
      </w:r>
      <w:r w:rsidR="002022E7" w:rsidRPr="009551E2">
        <w:rPr>
          <w:rFonts w:ascii="Arial" w:hAnsi="Arial" w:cs="Arial"/>
          <w:sz w:val="24"/>
          <w:szCs w:val="24"/>
        </w:rPr>
        <w:t xml:space="preserve">To contribute to our knowledge of this infection prevention strategy we report three years of cumulative data from a 550-bed general hospital in Singapore. We compare </w:t>
      </w:r>
      <w:r w:rsidR="00B60614" w:rsidRPr="009551E2">
        <w:rPr>
          <w:rFonts w:ascii="Arial" w:hAnsi="Arial" w:cs="Arial"/>
          <w:sz w:val="24"/>
          <w:szCs w:val="24"/>
        </w:rPr>
        <w:t>hospital-acquired Methicillin-resistant S</w:t>
      </w:r>
      <w:r w:rsidR="00B60614" w:rsidRPr="009551E2">
        <w:rPr>
          <w:rFonts w:ascii="Arial" w:hAnsi="Arial" w:cs="Arial"/>
          <w:i/>
          <w:sz w:val="24"/>
          <w:szCs w:val="24"/>
        </w:rPr>
        <w:t xml:space="preserve">taphylococcus </w:t>
      </w:r>
      <w:proofErr w:type="spellStart"/>
      <w:r w:rsidR="00B60614" w:rsidRPr="009551E2">
        <w:rPr>
          <w:rFonts w:ascii="Arial" w:hAnsi="Arial" w:cs="Arial"/>
          <w:i/>
          <w:sz w:val="24"/>
          <w:szCs w:val="24"/>
        </w:rPr>
        <w:t>aureus</w:t>
      </w:r>
      <w:proofErr w:type="spellEnd"/>
      <w:r w:rsidR="00B60614" w:rsidRPr="009551E2">
        <w:rPr>
          <w:rFonts w:ascii="Arial" w:hAnsi="Arial" w:cs="Arial"/>
          <w:i/>
          <w:sz w:val="24"/>
          <w:szCs w:val="24"/>
        </w:rPr>
        <w:t xml:space="preserve"> </w:t>
      </w:r>
      <w:r w:rsidR="00B60614" w:rsidRPr="009551E2">
        <w:rPr>
          <w:rFonts w:ascii="Arial" w:hAnsi="Arial" w:cs="Arial"/>
          <w:sz w:val="24"/>
          <w:szCs w:val="24"/>
        </w:rPr>
        <w:t xml:space="preserve">(HA-MRSA) </w:t>
      </w:r>
      <w:r w:rsidR="002022E7" w:rsidRPr="009551E2">
        <w:rPr>
          <w:rFonts w:ascii="Arial" w:hAnsi="Arial" w:cs="Arial"/>
          <w:sz w:val="24"/>
          <w:szCs w:val="24"/>
        </w:rPr>
        <w:t xml:space="preserve">infection rates between two cohorts, one receiving daily CHG baths, the other not receiving such baths.  </w:t>
      </w:r>
    </w:p>
    <w:p w:rsidR="002D368A" w:rsidRPr="009551E2" w:rsidRDefault="002D368A" w:rsidP="002D368A">
      <w:pPr>
        <w:spacing w:after="0" w:line="480" w:lineRule="auto"/>
        <w:rPr>
          <w:rFonts w:ascii="Arial" w:hAnsi="Arial" w:cs="Arial"/>
          <w:b/>
          <w:sz w:val="24"/>
          <w:szCs w:val="24"/>
        </w:rPr>
      </w:pPr>
      <w:r w:rsidRPr="009551E2">
        <w:rPr>
          <w:rFonts w:ascii="Arial" w:hAnsi="Arial" w:cs="Arial"/>
          <w:b/>
          <w:sz w:val="24"/>
          <w:szCs w:val="24"/>
        </w:rPr>
        <w:t>BACKGROUND</w:t>
      </w:r>
    </w:p>
    <w:p w:rsidR="002D368A" w:rsidRPr="009551E2" w:rsidRDefault="002D368A" w:rsidP="002D368A">
      <w:pPr>
        <w:spacing w:after="0" w:line="480" w:lineRule="auto"/>
        <w:contextualSpacing/>
        <w:rPr>
          <w:rFonts w:ascii="Arial" w:hAnsi="Arial" w:cs="Arial"/>
          <w:sz w:val="24"/>
          <w:szCs w:val="24"/>
        </w:rPr>
      </w:pPr>
      <w:r w:rsidRPr="009551E2">
        <w:rPr>
          <w:rFonts w:ascii="Arial" w:hAnsi="Arial" w:cs="Arial"/>
          <w:sz w:val="24"/>
          <w:szCs w:val="24"/>
        </w:rPr>
        <w:t xml:space="preserve">There have been a fair number of studies demonstrating the beneficial effect of administering daily CHG baths to patients in the </w:t>
      </w:r>
      <w:r w:rsidR="002022E7" w:rsidRPr="009551E2">
        <w:rPr>
          <w:rFonts w:ascii="Arial" w:hAnsi="Arial" w:cs="Arial"/>
          <w:sz w:val="24"/>
          <w:szCs w:val="24"/>
        </w:rPr>
        <w:t>I</w:t>
      </w:r>
      <w:r w:rsidR="00B60614" w:rsidRPr="009551E2">
        <w:rPr>
          <w:rFonts w:ascii="Arial" w:hAnsi="Arial" w:cs="Arial"/>
          <w:sz w:val="24"/>
          <w:szCs w:val="24"/>
        </w:rPr>
        <w:t>CU</w:t>
      </w:r>
      <w:r w:rsidRPr="009551E2">
        <w:rPr>
          <w:rFonts w:ascii="Arial" w:hAnsi="Arial" w:cs="Arial"/>
          <w:sz w:val="24"/>
          <w:szCs w:val="24"/>
        </w:rPr>
        <w:t xml:space="preserve"> setting. This effect has included a significant reduction in healthcare-associated bloodstream infections (HA-BSI), a finding which has been confirmed in a meta-analysis of 12 such studies.</w:t>
      </w:r>
      <w:r w:rsidRPr="009551E2">
        <w:rPr>
          <w:rFonts w:ascii="Arial" w:hAnsi="Arial" w:cs="Arial"/>
          <w:sz w:val="24"/>
          <w:szCs w:val="24"/>
          <w:vertAlign w:val="superscript"/>
        </w:rPr>
        <w:t>1</w:t>
      </w:r>
      <w:r w:rsidRPr="009551E2">
        <w:rPr>
          <w:rFonts w:ascii="Arial" w:hAnsi="Arial" w:cs="Arial"/>
          <w:sz w:val="24"/>
          <w:szCs w:val="24"/>
        </w:rPr>
        <w:t xml:space="preserve"> In addition to reducing HA-BSI, this strategy has also been shown to significantly reduce the transmission (acquisition) of multi-drug-resistant organisms (MDRO) in the ICU setting.</w:t>
      </w:r>
      <w:r w:rsidRPr="009551E2">
        <w:rPr>
          <w:rFonts w:ascii="Arial" w:hAnsi="Arial" w:cs="Arial"/>
          <w:sz w:val="24"/>
          <w:szCs w:val="24"/>
          <w:vertAlign w:val="superscript"/>
        </w:rPr>
        <w:t>2</w:t>
      </w:r>
      <w:proofErr w:type="gramStart"/>
      <w:r w:rsidRPr="009551E2">
        <w:rPr>
          <w:rFonts w:ascii="Arial" w:hAnsi="Arial" w:cs="Arial"/>
          <w:sz w:val="24"/>
          <w:szCs w:val="24"/>
          <w:vertAlign w:val="superscript"/>
        </w:rPr>
        <w:t>,3</w:t>
      </w:r>
      <w:proofErr w:type="gramEnd"/>
      <w:r w:rsidRPr="009551E2">
        <w:rPr>
          <w:rFonts w:ascii="Arial" w:hAnsi="Arial" w:cs="Arial"/>
          <w:sz w:val="24"/>
          <w:szCs w:val="24"/>
        </w:rPr>
        <w:t xml:space="preserve"> By contrast, much less data is available on this issue for patients in the setting of a general ward. One study reports a significant reduction in</w:t>
      </w:r>
      <w:r w:rsidRPr="009551E2">
        <w:rPr>
          <w:rFonts w:ascii="Arial" w:hAnsi="Arial" w:cs="Arial"/>
          <w:i/>
          <w:sz w:val="24"/>
          <w:szCs w:val="24"/>
        </w:rPr>
        <w:t xml:space="preserve"> Clostridium </w:t>
      </w:r>
      <w:proofErr w:type="spellStart"/>
      <w:r w:rsidRPr="009551E2">
        <w:rPr>
          <w:rFonts w:ascii="Arial" w:hAnsi="Arial" w:cs="Arial"/>
          <w:i/>
          <w:sz w:val="24"/>
          <w:szCs w:val="24"/>
        </w:rPr>
        <w:t>difficile</w:t>
      </w:r>
      <w:proofErr w:type="spellEnd"/>
      <w:r w:rsidRPr="009551E2">
        <w:rPr>
          <w:rFonts w:ascii="Arial" w:hAnsi="Arial" w:cs="Arial"/>
          <w:sz w:val="24"/>
          <w:szCs w:val="24"/>
        </w:rPr>
        <w:t xml:space="preserve"> (</w:t>
      </w:r>
      <w:proofErr w:type="spellStart"/>
      <w:r w:rsidRPr="005F334F">
        <w:rPr>
          <w:rFonts w:ascii="Arial" w:hAnsi="Arial" w:cs="Arial"/>
          <w:i/>
          <w:sz w:val="24"/>
          <w:szCs w:val="24"/>
        </w:rPr>
        <w:t>C.diff</w:t>
      </w:r>
      <w:proofErr w:type="spellEnd"/>
      <w:r w:rsidRPr="009551E2">
        <w:rPr>
          <w:rFonts w:ascii="Arial" w:hAnsi="Arial" w:cs="Arial"/>
          <w:sz w:val="24"/>
          <w:szCs w:val="24"/>
        </w:rPr>
        <w:t>.)</w:t>
      </w:r>
      <w:r w:rsidRPr="009551E2">
        <w:rPr>
          <w:rFonts w:ascii="Arial" w:hAnsi="Arial" w:cs="Arial"/>
          <w:i/>
          <w:sz w:val="24"/>
          <w:szCs w:val="24"/>
        </w:rPr>
        <w:t xml:space="preserve"> </w:t>
      </w:r>
      <w:r w:rsidRPr="009551E2">
        <w:rPr>
          <w:rFonts w:ascii="Arial" w:hAnsi="Arial" w:cs="Arial"/>
          <w:sz w:val="24"/>
          <w:szCs w:val="24"/>
        </w:rPr>
        <w:t>infection with the use of hospital-wide daily CHG baths.</w:t>
      </w:r>
      <w:r w:rsidRPr="009551E2">
        <w:rPr>
          <w:rFonts w:ascii="Arial" w:hAnsi="Arial" w:cs="Arial"/>
          <w:sz w:val="24"/>
          <w:szCs w:val="24"/>
          <w:vertAlign w:val="superscript"/>
        </w:rPr>
        <w:t>4</w:t>
      </w:r>
      <w:r w:rsidRPr="009551E2">
        <w:rPr>
          <w:rFonts w:ascii="Arial" w:hAnsi="Arial" w:cs="Arial"/>
          <w:sz w:val="24"/>
          <w:szCs w:val="24"/>
        </w:rPr>
        <w:t xml:space="preserve"> Another study showed a significant reduction in HA-MRSA</w:t>
      </w:r>
      <w:r w:rsidR="00B60614" w:rsidRPr="009551E2">
        <w:rPr>
          <w:rFonts w:ascii="Arial" w:hAnsi="Arial" w:cs="Arial"/>
          <w:sz w:val="24"/>
          <w:szCs w:val="24"/>
        </w:rPr>
        <w:t xml:space="preserve"> infections</w:t>
      </w:r>
      <w:r w:rsidRPr="009551E2">
        <w:rPr>
          <w:rFonts w:ascii="Arial" w:hAnsi="Arial" w:cs="Arial"/>
          <w:sz w:val="24"/>
          <w:szCs w:val="24"/>
        </w:rPr>
        <w:t xml:space="preserve"> and</w:t>
      </w:r>
      <w:r w:rsidR="00B60614" w:rsidRPr="009551E2">
        <w:rPr>
          <w:rFonts w:ascii="Arial" w:hAnsi="Arial" w:cs="Arial"/>
          <w:sz w:val="24"/>
          <w:szCs w:val="24"/>
        </w:rPr>
        <w:t xml:space="preserve"> HA-VRE (</w:t>
      </w:r>
      <w:proofErr w:type="spellStart"/>
      <w:r w:rsidRPr="009551E2">
        <w:rPr>
          <w:rFonts w:ascii="Arial" w:hAnsi="Arial" w:cs="Arial"/>
          <w:sz w:val="24"/>
          <w:szCs w:val="24"/>
        </w:rPr>
        <w:t>Vancomycin</w:t>
      </w:r>
      <w:proofErr w:type="spellEnd"/>
      <w:r w:rsidRPr="009551E2">
        <w:rPr>
          <w:rFonts w:ascii="Arial" w:hAnsi="Arial" w:cs="Arial"/>
          <w:sz w:val="24"/>
          <w:szCs w:val="24"/>
        </w:rPr>
        <w:t>-resistant</w:t>
      </w:r>
      <w:r w:rsidRPr="009551E2">
        <w:rPr>
          <w:rFonts w:ascii="Arial" w:hAnsi="Arial" w:cs="Arial"/>
          <w:i/>
          <w:sz w:val="24"/>
          <w:szCs w:val="24"/>
        </w:rPr>
        <w:t xml:space="preserve"> Enterococcus</w:t>
      </w:r>
      <w:r w:rsidR="00B60614" w:rsidRPr="009551E2">
        <w:rPr>
          <w:rFonts w:ascii="Arial" w:hAnsi="Arial" w:cs="Arial"/>
          <w:sz w:val="24"/>
          <w:szCs w:val="24"/>
        </w:rPr>
        <w:t xml:space="preserve">) </w:t>
      </w:r>
      <w:r w:rsidRPr="009551E2">
        <w:rPr>
          <w:rFonts w:ascii="Arial" w:hAnsi="Arial" w:cs="Arial"/>
          <w:sz w:val="24"/>
          <w:szCs w:val="24"/>
        </w:rPr>
        <w:t>infections using daily CHG bathing but fail</w:t>
      </w:r>
      <w:r w:rsidR="009D5722" w:rsidRPr="009551E2">
        <w:rPr>
          <w:rFonts w:ascii="Arial" w:hAnsi="Arial" w:cs="Arial"/>
          <w:sz w:val="24"/>
          <w:szCs w:val="24"/>
        </w:rPr>
        <w:t>ed to show a reduction in HA-</w:t>
      </w:r>
      <w:proofErr w:type="spellStart"/>
      <w:r w:rsidR="009D5722" w:rsidRPr="005F334F">
        <w:rPr>
          <w:rFonts w:ascii="Arial" w:hAnsi="Arial" w:cs="Arial"/>
          <w:i/>
          <w:sz w:val="24"/>
          <w:szCs w:val="24"/>
        </w:rPr>
        <w:t>C.d</w:t>
      </w:r>
      <w:r w:rsidRPr="005F334F">
        <w:rPr>
          <w:rFonts w:ascii="Arial" w:hAnsi="Arial" w:cs="Arial"/>
          <w:i/>
          <w:sz w:val="24"/>
          <w:szCs w:val="24"/>
        </w:rPr>
        <w:t>iff</w:t>
      </w:r>
      <w:proofErr w:type="spellEnd"/>
      <w:r w:rsidRPr="005F334F">
        <w:rPr>
          <w:rFonts w:ascii="Arial" w:hAnsi="Arial" w:cs="Arial"/>
          <w:i/>
          <w:sz w:val="24"/>
          <w:szCs w:val="24"/>
        </w:rPr>
        <w:t>.</w:t>
      </w:r>
      <w:r w:rsidRPr="009551E2">
        <w:rPr>
          <w:rFonts w:ascii="Arial" w:hAnsi="Arial" w:cs="Arial"/>
          <w:sz w:val="24"/>
          <w:szCs w:val="24"/>
        </w:rPr>
        <w:t xml:space="preserve"> </w:t>
      </w:r>
      <w:proofErr w:type="gramStart"/>
      <w:r w:rsidRPr="009551E2">
        <w:rPr>
          <w:rFonts w:ascii="Arial" w:hAnsi="Arial" w:cs="Arial"/>
          <w:sz w:val="24"/>
          <w:szCs w:val="24"/>
        </w:rPr>
        <w:t>infections.</w:t>
      </w:r>
      <w:r w:rsidRPr="009551E2">
        <w:rPr>
          <w:rFonts w:ascii="Arial" w:hAnsi="Arial" w:cs="Arial"/>
          <w:sz w:val="24"/>
          <w:szCs w:val="24"/>
          <w:vertAlign w:val="superscript"/>
        </w:rPr>
        <w:t>5</w:t>
      </w:r>
      <w:r w:rsidRPr="009551E2">
        <w:rPr>
          <w:rFonts w:ascii="Arial" w:hAnsi="Arial" w:cs="Arial"/>
          <w:sz w:val="24"/>
          <w:szCs w:val="24"/>
        </w:rPr>
        <w:t xml:space="preserve">  We</w:t>
      </w:r>
      <w:proofErr w:type="gramEnd"/>
      <w:r w:rsidRPr="009551E2">
        <w:rPr>
          <w:rFonts w:ascii="Arial" w:hAnsi="Arial" w:cs="Arial"/>
          <w:sz w:val="24"/>
          <w:szCs w:val="24"/>
        </w:rPr>
        <w:t xml:space="preserve"> examine our accumulated data for the years 2011</w:t>
      </w:r>
      <w:r w:rsidR="0053221B">
        <w:rPr>
          <w:rFonts w:ascii="Arial" w:hAnsi="Arial" w:cs="Arial"/>
          <w:sz w:val="24"/>
          <w:szCs w:val="24"/>
        </w:rPr>
        <w:t>,</w:t>
      </w:r>
      <w:r w:rsidRPr="009551E2">
        <w:rPr>
          <w:rFonts w:ascii="Arial" w:hAnsi="Arial" w:cs="Arial"/>
          <w:sz w:val="24"/>
          <w:szCs w:val="24"/>
          <w:vertAlign w:val="superscript"/>
        </w:rPr>
        <w:t>6</w:t>
      </w:r>
      <w:r w:rsidRPr="009551E2">
        <w:rPr>
          <w:rFonts w:ascii="Arial" w:hAnsi="Arial" w:cs="Arial"/>
          <w:sz w:val="24"/>
          <w:szCs w:val="24"/>
        </w:rPr>
        <w:t xml:space="preserve"> 2012, and 2013 to determine the effect on HA-MRSA infection for general ward patients receiving daily CHG baths. </w:t>
      </w:r>
    </w:p>
    <w:p w:rsidR="002D368A" w:rsidRPr="009551E2" w:rsidRDefault="002D368A" w:rsidP="002D368A">
      <w:pPr>
        <w:spacing w:after="0" w:line="480" w:lineRule="auto"/>
        <w:contextualSpacing/>
        <w:rPr>
          <w:rFonts w:ascii="Arial" w:hAnsi="Arial" w:cs="Arial"/>
          <w:b/>
          <w:sz w:val="24"/>
          <w:szCs w:val="24"/>
        </w:rPr>
      </w:pPr>
      <w:r w:rsidRPr="009551E2">
        <w:rPr>
          <w:rFonts w:ascii="Arial" w:hAnsi="Arial" w:cs="Arial"/>
          <w:b/>
          <w:sz w:val="24"/>
          <w:szCs w:val="24"/>
        </w:rPr>
        <w:lastRenderedPageBreak/>
        <w:t>METHODS</w:t>
      </w:r>
    </w:p>
    <w:p w:rsidR="002D368A" w:rsidRPr="009551E2" w:rsidRDefault="002D368A" w:rsidP="002D368A">
      <w:pPr>
        <w:spacing w:line="480" w:lineRule="auto"/>
        <w:rPr>
          <w:rFonts w:ascii="Arial" w:hAnsi="Arial" w:cs="Arial"/>
          <w:sz w:val="24"/>
          <w:szCs w:val="24"/>
        </w:rPr>
      </w:pPr>
      <w:proofErr w:type="spellStart"/>
      <w:r w:rsidRPr="009551E2">
        <w:rPr>
          <w:rFonts w:ascii="Arial" w:hAnsi="Arial" w:cs="Arial"/>
          <w:sz w:val="24"/>
          <w:szCs w:val="24"/>
        </w:rPr>
        <w:t>Khoo</w:t>
      </w:r>
      <w:proofErr w:type="spellEnd"/>
      <w:r w:rsidRPr="009551E2">
        <w:rPr>
          <w:rFonts w:ascii="Arial" w:hAnsi="Arial" w:cs="Arial"/>
          <w:sz w:val="24"/>
          <w:szCs w:val="24"/>
        </w:rPr>
        <w:t xml:space="preserve"> </w:t>
      </w:r>
      <w:proofErr w:type="spellStart"/>
      <w:r w:rsidRPr="009551E2">
        <w:rPr>
          <w:rFonts w:ascii="Arial" w:hAnsi="Arial" w:cs="Arial"/>
          <w:sz w:val="24"/>
          <w:szCs w:val="24"/>
        </w:rPr>
        <w:t>Teck</w:t>
      </w:r>
      <w:proofErr w:type="spellEnd"/>
      <w:r w:rsidRPr="009551E2">
        <w:rPr>
          <w:rFonts w:ascii="Arial" w:hAnsi="Arial" w:cs="Arial"/>
          <w:sz w:val="24"/>
          <w:szCs w:val="24"/>
        </w:rPr>
        <w:t xml:space="preserve"> </w:t>
      </w:r>
      <w:proofErr w:type="spellStart"/>
      <w:r w:rsidRPr="009551E2">
        <w:rPr>
          <w:rFonts w:ascii="Arial" w:hAnsi="Arial" w:cs="Arial"/>
          <w:sz w:val="24"/>
          <w:szCs w:val="24"/>
        </w:rPr>
        <w:t>Puat</w:t>
      </w:r>
      <w:proofErr w:type="spellEnd"/>
      <w:r w:rsidRPr="009551E2">
        <w:rPr>
          <w:rFonts w:ascii="Arial" w:hAnsi="Arial" w:cs="Arial"/>
          <w:sz w:val="24"/>
          <w:szCs w:val="24"/>
        </w:rPr>
        <w:t xml:space="preserve"> Hospital is a 550-bed general hospital that opened in mid-2010 to serve the northern sector of Singapore. We do not provide services for pediatrics, obstetrics/gynecology, organ transplantation, cardiac surgery, or hematology/oncology.  As part of infection control policy all patients admitted to the hospital are screened on entry for MRSA-colonization by three-site nasal, axillae, and groin swabbing. One swab is used for the nares and one for the axillae/groin regions. The two swabs are then processed as one specimen. Culture method using </w:t>
      </w:r>
      <w:proofErr w:type="spellStart"/>
      <w:r w:rsidRPr="009551E2">
        <w:rPr>
          <w:rFonts w:ascii="Arial" w:hAnsi="Arial" w:cs="Arial"/>
          <w:sz w:val="24"/>
          <w:szCs w:val="24"/>
        </w:rPr>
        <w:t>ChromAgar</w:t>
      </w:r>
      <w:r w:rsidRPr="009551E2">
        <w:rPr>
          <w:rFonts w:ascii="Arial" w:hAnsi="Arial" w:cs="Arial"/>
          <w:sz w:val="24"/>
          <w:szCs w:val="24"/>
          <w:vertAlign w:val="superscript"/>
        </w:rPr>
        <w:t>TM</w:t>
      </w:r>
      <w:proofErr w:type="spellEnd"/>
      <w:r w:rsidRPr="009551E2">
        <w:rPr>
          <w:rFonts w:ascii="Arial" w:hAnsi="Arial" w:cs="Arial"/>
          <w:sz w:val="24"/>
          <w:szCs w:val="24"/>
        </w:rPr>
        <w:t xml:space="preserve"> was used until July 2011 from which time batched PCR (Roche </w:t>
      </w:r>
      <w:proofErr w:type="spellStart"/>
      <w:r w:rsidRPr="009551E2">
        <w:rPr>
          <w:rFonts w:ascii="Arial" w:hAnsi="Arial" w:cs="Arial"/>
          <w:sz w:val="24"/>
          <w:szCs w:val="24"/>
        </w:rPr>
        <w:t>LightCycler</w:t>
      </w:r>
      <w:r w:rsidRPr="009551E2">
        <w:rPr>
          <w:rFonts w:ascii="Arial" w:hAnsi="Arial" w:cs="Arial"/>
          <w:sz w:val="24"/>
          <w:szCs w:val="24"/>
          <w:vertAlign w:val="superscript"/>
        </w:rPr>
        <w:t>TM</w:t>
      </w:r>
      <w:proofErr w:type="spellEnd"/>
      <w:r w:rsidRPr="009551E2">
        <w:rPr>
          <w:rFonts w:ascii="Arial" w:hAnsi="Arial" w:cs="Arial"/>
          <w:sz w:val="24"/>
          <w:szCs w:val="24"/>
        </w:rPr>
        <w:t>) was used in order to reduce the time to results. Sensitivity and specificity of PCR for MRSA detection was determined to be 92% and 99% respectively.</w:t>
      </w:r>
    </w:p>
    <w:p w:rsidR="00780611" w:rsidRDefault="002D368A" w:rsidP="002D368A">
      <w:pPr>
        <w:spacing w:after="0" w:line="480" w:lineRule="auto"/>
        <w:rPr>
          <w:rFonts w:ascii="Arial" w:hAnsi="Arial" w:cs="Arial"/>
          <w:sz w:val="24"/>
          <w:szCs w:val="24"/>
        </w:rPr>
      </w:pPr>
      <w:proofErr w:type="spellStart"/>
      <w:r w:rsidRPr="009551E2">
        <w:rPr>
          <w:rFonts w:ascii="Arial" w:hAnsi="Arial" w:cs="Arial"/>
          <w:sz w:val="24"/>
          <w:szCs w:val="24"/>
        </w:rPr>
        <w:t>Khoo</w:t>
      </w:r>
      <w:proofErr w:type="spellEnd"/>
      <w:r w:rsidRPr="009551E2">
        <w:rPr>
          <w:rFonts w:ascii="Arial" w:hAnsi="Arial" w:cs="Arial"/>
          <w:sz w:val="24"/>
          <w:szCs w:val="24"/>
        </w:rPr>
        <w:t xml:space="preserve"> </w:t>
      </w:r>
      <w:proofErr w:type="spellStart"/>
      <w:r w:rsidRPr="009551E2">
        <w:rPr>
          <w:rFonts w:ascii="Arial" w:hAnsi="Arial" w:cs="Arial"/>
          <w:sz w:val="24"/>
          <w:szCs w:val="24"/>
        </w:rPr>
        <w:t>Teck</w:t>
      </w:r>
      <w:proofErr w:type="spellEnd"/>
      <w:r w:rsidRPr="009551E2">
        <w:rPr>
          <w:rFonts w:ascii="Arial" w:hAnsi="Arial" w:cs="Arial"/>
          <w:sz w:val="24"/>
          <w:szCs w:val="24"/>
        </w:rPr>
        <w:t xml:space="preserve"> </w:t>
      </w:r>
      <w:proofErr w:type="spellStart"/>
      <w:r w:rsidRPr="009551E2">
        <w:rPr>
          <w:rFonts w:ascii="Arial" w:hAnsi="Arial" w:cs="Arial"/>
          <w:sz w:val="24"/>
          <w:szCs w:val="24"/>
        </w:rPr>
        <w:t>Puat</w:t>
      </w:r>
      <w:proofErr w:type="spellEnd"/>
      <w:r w:rsidRPr="009551E2">
        <w:rPr>
          <w:rFonts w:ascii="Arial" w:hAnsi="Arial" w:cs="Arial"/>
          <w:sz w:val="24"/>
          <w:szCs w:val="24"/>
        </w:rPr>
        <w:t xml:space="preserve"> Hospital general wards each have 32 beds. These consist of two single rooms each with their own toilet and shower area, and, six 5-bed cubicles with the 5 patients in each cubicle sharing one toilet and shower area located within the cubicle. Our infection control policy mandates daily 4% CHG baths for all patients admitted to hospital pending results of MRSA screening. Those who screen MRSA-positive will be isolated or </w:t>
      </w:r>
      <w:proofErr w:type="spellStart"/>
      <w:r w:rsidRPr="009551E2">
        <w:rPr>
          <w:rFonts w:ascii="Arial" w:hAnsi="Arial" w:cs="Arial"/>
          <w:sz w:val="24"/>
          <w:szCs w:val="24"/>
        </w:rPr>
        <w:t>cohorted</w:t>
      </w:r>
      <w:proofErr w:type="spellEnd"/>
      <w:r w:rsidRPr="009551E2">
        <w:rPr>
          <w:rFonts w:ascii="Arial" w:hAnsi="Arial" w:cs="Arial"/>
          <w:sz w:val="24"/>
          <w:szCs w:val="24"/>
        </w:rPr>
        <w:t xml:space="preserve"> and managed with appropriate contact precautions</w:t>
      </w:r>
      <w:r w:rsidR="006B4759">
        <w:rPr>
          <w:rFonts w:ascii="Arial" w:hAnsi="Arial" w:cs="Arial"/>
          <w:sz w:val="24"/>
          <w:szCs w:val="24"/>
        </w:rPr>
        <w:t xml:space="preserve"> which consist of apron, gloves, and hand-hygiene</w:t>
      </w:r>
      <w:r w:rsidRPr="009551E2">
        <w:rPr>
          <w:rFonts w:ascii="Arial" w:hAnsi="Arial" w:cs="Arial"/>
          <w:sz w:val="24"/>
          <w:szCs w:val="24"/>
        </w:rPr>
        <w:t xml:space="preserve">. In addition they continue daily CHG bathing throughout their hospital stay whereas those who test MRSA-negative stop. </w:t>
      </w:r>
      <w:r w:rsidR="004175F4">
        <w:rPr>
          <w:rFonts w:ascii="Arial" w:hAnsi="Arial" w:cs="Arial"/>
          <w:sz w:val="24"/>
          <w:szCs w:val="24"/>
        </w:rPr>
        <w:t xml:space="preserve">The rationale for this policy is simply to reduce the overall MRSA burden on the patient’s skin. This is not an attempt at decolonization. </w:t>
      </w:r>
    </w:p>
    <w:p w:rsidR="00E16254" w:rsidRPr="009551E2" w:rsidRDefault="00780611" w:rsidP="002D368A">
      <w:pPr>
        <w:spacing w:after="0" w:line="480" w:lineRule="auto"/>
        <w:rPr>
          <w:rFonts w:ascii="Arial" w:hAnsi="Arial" w:cs="Arial"/>
          <w:sz w:val="24"/>
          <w:szCs w:val="24"/>
        </w:rPr>
      </w:pPr>
      <w:r>
        <w:rPr>
          <w:rFonts w:ascii="Arial" w:hAnsi="Arial" w:cs="Arial"/>
          <w:sz w:val="24"/>
          <w:szCs w:val="24"/>
        </w:rPr>
        <w:t xml:space="preserve">Our patient profile consists of about 80% ambulatory and 20% non-ambulatory cases. Among the ambulatory cases 3.4% are MRSA-carriers whereas this figure is 18% </w:t>
      </w:r>
      <w:r>
        <w:rPr>
          <w:rFonts w:ascii="Arial" w:hAnsi="Arial" w:cs="Arial"/>
          <w:sz w:val="24"/>
          <w:szCs w:val="24"/>
        </w:rPr>
        <w:lastRenderedPageBreak/>
        <w:t xml:space="preserve">among non-ambulatory cases. Overall given the much greater proportion of ambulatory cases this category actually makes up about 43% of MRSA carriers as compared to 57% of carriers being non-ambulatory. </w:t>
      </w:r>
    </w:p>
    <w:p w:rsidR="002D368A" w:rsidRPr="009551E2" w:rsidRDefault="00366F58" w:rsidP="002D368A">
      <w:pPr>
        <w:spacing w:after="0" w:line="480" w:lineRule="auto"/>
        <w:rPr>
          <w:rFonts w:ascii="Arial" w:hAnsi="Arial" w:cs="Arial"/>
          <w:sz w:val="24"/>
          <w:szCs w:val="24"/>
        </w:rPr>
      </w:pPr>
      <w:r>
        <w:rPr>
          <w:rFonts w:ascii="Arial" w:hAnsi="Arial" w:cs="Arial"/>
          <w:sz w:val="24"/>
          <w:szCs w:val="24"/>
        </w:rPr>
        <w:t>Non-ambulatory</w:t>
      </w:r>
      <w:r w:rsidR="002D368A" w:rsidRPr="009551E2">
        <w:rPr>
          <w:rFonts w:ascii="Arial" w:hAnsi="Arial" w:cs="Arial"/>
          <w:sz w:val="24"/>
          <w:szCs w:val="24"/>
        </w:rPr>
        <w:t xml:space="preserve"> MRSA-positive patients are bathed by nursing staff using 40 ml of 4% CHG applied over the whole body (except the face) using a clean disposable washcloth. After 3 minutes on the skin the CHG is rinsed off. Ambulatory patients are provided with a bottle of 4% CHG and instructed to use the same procedure when they take their daily shower. </w:t>
      </w:r>
      <w:r w:rsidR="00781234">
        <w:rPr>
          <w:rFonts w:ascii="Arial" w:hAnsi="Arial" w:cs="Arial"/>
          <w:sz w:val="24"/>
          <w:szCs w:val="24"/>
        </w:rPr>
        <w:t xml:space="preserve">Should a patient have skin sensitivity to CHG (contact dermatitis or anaphylaxis) the alternative antiseptic agent </w:t>
      </w:r>
      <w:proofErr w:type="spellStart"/>
      <w:r w:rsidR="00781234">
        <w:rPr>
          <w:rFonts w:ascii="Arial" w:hAnsi="Arial" w:cs="Arial"/>
          <w:sz w:val="24"/>
          <w:szCs w:val="24"/>
        </w:rPr>
        <w:t>Octenidine</w:t>
      </w:r>
      <w:proofErr w:type="spellEnd"/>
      <w:r w:rsidR="00781234">
        <w:rPr>
          <w:rFonts w:ascii="Arial" w:hAnsi="Arial" w:cs="Arial"/>
          <w:sz w:val="24"/>
          <w:szCs w:val="24"/>
        </w:rPr>
        <w:t xml:space="preserve"> is used instead for daily </w:t>
      </w:r>
      <w:proofErr w:type="gramStart"/>
      <w:r w:rsidR="00781234">
        <w:rPr>
          <w:rFonts w:ascii="Arial" w:hAnsi="Arial" w:cs="Arial"/>
          <w:sz w:val="24"/>
          <w:szCs w:val="24"/>
        </w:rPr>
        <w:t>bathing.</w:t>
      </w:r>
      <w:proofErr w:type="gramEnd"/>
      <w:r w:rsidR="00781234">
        <w:rPr>
          <w:rFonts w:ascii="Arial" w:hAnsi="Arial" w:cs="Arial"/>
          <w:sz w:val="24"/>
          <w:szCs w:val="24"/>
        </w:rPr>
        <w:t xml:space="preserve"> However this is a rare problem. </w:t>
      </w:r>
      <w:r w:rsidR="002D368A" w:rsidRPr="009551E2">
        <w:rPr>
          <w:rFonts w:ascii="Arial" w:hAnsi="Arial" w:cs="Arial"/>
          <w:sz w:val="24"/>
          <w:szCs w:val="24"/>
        </w:rPr>
        <w:t xml:space="preserve">This protocol for antiseptic bathing is set out in a poster on each ward and nursing staff are very familiar with it. The nursing managers of the general wards were approached individually and asked an open-ended question about the situations in which CHG bathing was administered in their particular ward. They each demonstrated familiarity with our infection control policy of using daily CHG baths for MRSA-positive patients.  For bed-bound patients compliance is high (estimated &gt;90%) as nursing staff are the ones administering the baths. For ambulatory cases compliance in providing the patient with bottles of 4% CHG and explaining its usage is also high, but it is difficult to verify its actual use by the patient.  </w:t>
      </w:r>
    </w:p>
    <w:p w:rsidR="00D541E3" w:rsidRDefault="002D368A" w:rsidP="002D368A">
      <w:pPr>
        <w:spacing w:after="0" w:line="480" w:lineRule="auto"/>
        <w:rPr>
          <w:rFonts w:ascii="Arial" w:hAnsi="Arial" w:cs="Arial"/>
          <w:b/>
          <w:sz w:val="24"/>
          <w:szCs w:val="24"/>
        </w:rPr>
      </w:pPr>
      <w:r w:rsidRPr="009551E2">
        <w:rPr>
          <w:rFonts w:ascii="Arial" w:hAnsi="Arial" w:cs="Arial"/>
          <w:sz w:val="24"/>
          <w:szCs w:val="24"/>
        </w:rPr>
        <w:t xml:space="preserve">In this report we compare </w:t>
      </w:r>
      <w:r w:rsidR="003B4CDD">
        <w:rPr>
          <w:rFonts w:ascii="Arial" w:hAnsi="Arial" w:cs="Arial"/>
          <w:sz w:val="24"/>
          <w:szCs w:val="24"/>
        </w:rPr>
        <w:t xml:space="preserve">the </w:t>
      </w:r>
      <w:r w:rsidRPr="009551E2">
        <w:rPr>
          <w:rFonts w:ascii="Arial" w:hAnsi="Arial" w:cs="Arial"/>
          <w:sz w:val="24"/>
          <w:szCs w:val="24"/>
        </w:rPr>
        <w:t xml:space="preserve">rates </w:t>
      </w:r>
      <w:r w:rsidR="003B4CDD">
        <w:rPr>
          <w:rFonts w:ascii="Arial" w:hAnsi="Arial" w:cs="Arial"/>
          <w:sz w:val="24"/>
          <w:szCs w:val="24"/>
        </w:rPr>
        <w:t xml:space="preserve">(Table I) and types (Table II) </w:t>
      </w:r>
      <w:r w:rsidRPr="009551E2">
        <w:rPr>
          <w:rFonts w:ascii="Arial" w:hAnsi="Arial" w:cs="Arial"/>
          <w:sz w:val="24"/>
          <w:szCs w:val="24"/>
        </w:rPr>
        <w:t xml:space="preserve">of MRSA infection occurring during hospitalization (HA-MRSA) </w:t>
      </w:r>
      <w:r w:rsidR="00AF77D7" w:rsidRPr="009551E2">
        <w:rPr>
          <w:rFonts w:ascii="Arial" w:hAnsi="Arial" w:cs="Arial"/>
          <w:sz w:val="24"/>
          <w:szCs w:val="24"/>
        </w:rPr>
        <w:t>for two groups</w:t>
      </w:r>
      <w:r w:rsidRPr="009551E2">
        <w:rPr>
          <w:rFonts w:ascii="Arial" w:hAnsi="Arial" w:cs="Arial"/>
          <w:sz w:val="24"/>
          <w:szCs w:val="24"/>
        </w:rPr>
        <w:t xml:space="preserve">: Those who screened positive for MRSA on admission and who therefore received daily CHG baths throughout their hospital stay; and those </w:t>
      </w:r>
      <w:r w:rsidR="00D541E3">
        <w:rPr>
          <w:rFonts w:ascii="Arial" w:hAnsi="Arial" w:cs="Arial"/>
          <w:sz w:val="24"/>
          <w:szCs w:val="24"/>
        </w:rPr>
        <w:t xml:space="preserve">in </w:t>
      </w:r>
      <w:r w:rsidRPr="009551E2">
        <w:rPr>
          <w:rFonts w:ascii="Arial" w:hAnsi="Arial" w:cs="Arial"/>
          <w:sz w:val="24"/>
          <w:szCs w:val="24"/>
        </w:rPr>
        <w:t>who</w:t>
      </w:r>
      <w:r w:rsidR="00D541E3">
        <w:rPr>
          <w:rFonts w:ascii="Arial" w:hAnsi="Arial" w:cs="Arial"/>
          <w:sz w:val="24"/>
          <w:szCs w:val="24"/>
        </w:rPr>
        <w:t>m</w:t>
      </w:r>
      <w:r w:rsidRPr="009551E2">
        <w:rPr>
          <w:rFonts w:ascii="Arial" w:hAnsi="Arial" w:cs="Arial"/>
          <w:sz w:val="24"/>
          <w:szCs w:val="24"/>
        </w:rPr>
        <w:t xml:space="preserve"> MRSA </w:t>
      </w:r>
      <w:r w:rsidR="00D541E3">
        <w:rPr>
          <w:rFonts w:ascii="Arial" w:hAnsi="Arial" w:cs="Arial"/>
          <w:sz w:val="24"/>
          <w:szCs w:val="24"/>
        </w:rPr>
        <w:t xml:space="preserve">was not detected </w:t>
      </w:r>
      <w:r w:rsidRPr="009551E2">
        <w:rPr>
          <w:rFonts w:ascii="Arial" w:hAnsi="Arial" w:cs="Arial"/>
          <w:sz w:val="24"/>
          <w:szCs w:val="24"/>
        </w:rPr>
        <w:t xml:space="preserve">on admission and who therefore did not </w:t>
      </w:r>
      <w:r w:rsidR="00D541E3">
        <w:rPr>
          <w:rFonts w:ascii="Arial" w:hAnsi="Arial" w:cs="Arial"/>
          <w:sz w:val="24"/>
          <w:szCs w:val="24"/>
        </w:rPr>
        <w:t xml:space="preserve">receive </w:t>
      </w:r>
      <w:r w:rsidRPr="009551E2">
        <w:rPr>
          <w:rFonts w:ascii="Arial" w:hAnsi="Arial" w:cs="Arial"/>
          <w:sz w:val="24"/>
          <w:szCs w:val="24"/>
        </w:rPr>
        <w:t>daily CHG baths</w:t>
      </w:r>
      <w:r w:rsidR="00D541E3">
        <w:rPr>
          <w:rFonts w:ascii="Arial" w:hAnsi="Arial" w:cs="Arial"/>
          <w:sz w:val="24"/>
          <w:szCs w:val="24"/>
        </w:rPr>
        <w:t>.</w:t>
      </w:r>
      <w:r w:rsidRPr="009551E2">
        <w:rPr>
          <w:rFonts w:ascii="Arial" w:hAnsi="Arial" w:cs="Arial"/>
          <w:sz w:val="24"/>
          <w:szCs w:val="24"/>
        </w:rPr>
        <w:t xml:space="preserve"> </w:t>
      </w:r>
    </w:p>
    <w:p w:rsidR="002D368A" w:rsidRPr="009551E2" w:rsidRDefault="002D368A" w:rsidP="002D368A">
      <w:pPr>
        <w:spacing w:after="0" w:line="480" w:lineRule="auto"/>
        <w:rPr>
          <w:rFonts w:ascii="Arial" w:hAnsi="Arial" w:cs="Arial"/>
          <w:b/>
          <w:sz w:val="24"/>
          <w:szCs w:val="24"/>
        </w:rPr>
      </w:pPr>
      <w:r w:rsidRPr="009551E2">
        <w:rPr>
          <w:rFonts w:ascii="Arial" w:hAnsi="Arial" w:cs="Arial"/>
          <w:b/>
          <w:sz w:val="24"/>
          <w:szCs w:val="24"/>
        </w:rPr>
        <w:lastRenderedPageBreak/>
        <w:t>RESULTS</w:t>
      </w:r>
    </w:p>
    <w:p w:rsidR="002D368A" w:rsidRPr="009551E2" w:rsidRDefault="00AF77D7" w:rsidP="002D368A">
      <w:pPr>
        <w:spacing w:line="480" w:lineRule="auto"/>
        <w:rPr>
          <w:rFonts w:ascii="Arial" w:hAnsi="Arial" w:cs="Arial"/>
          <w:sz w:val="24"/>
          <w:szCs w:val="24"/>
        </w:rPr>
      </w:pPr>
      <w:r w:rsidRPr="009551E2">
        <w:rPr>
          <w:rFonts w:ascii="Arial" w:hAnsi="Arial" w:cs="Arial"/>
          <w:sz w:val="24"/>
          <w:szCs w:val="24"/>
        </w:rPr>
        <w:t>Table I</w:t>
      </w:r>
      <w:r w:rsidR="002D368A" w:rsidRPr="009551E2">
        <w:rPr>
          <w:rFonts w:ascii="Arial" w:hAnsi="Arial" w:cs="Arial"/>
          <w:sz w:val="24"/>
          <w:szCs w:val="24"/>
        </w:rPr>
        <w:t xml:space="preserve"> shows the actual numbers of patients admitted in 2011, 2012, and 2013 together with the results of their entry-screening for MRSA. The table also presents the number of cases which progressed to HA-MRSA infection in: 1) the cohort that screened MRSA-positive on admission (and therefore received daily CHG baths); and in 2) the cohort that tested MRSA-negative or who missed screening and hence did not receive daily CHG baths.  The method for determining the rates of infection for the two cohorts is discussed below. </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 xml:space="preserve">Colonization with MRSA is the usual sequence before HA-MRSA infection can occur in a particular patient. For those patients who screened MRSA-negative on admission but who subsequently developed HA-MRSA infection there are two possible scenarios. Some may have been carriers who tested falsely negative on admission (given PCR detection sensitivity of 92%) and some may have become colonized with MRSA through cross-transmission or in some cases possibly through antibiotic exposure. In order to determine the MRSA acquisition rates for General Ward patients we conducted entry-exit swabs on 861 consecutive general ward MRSA negative patients at discharge. This was done over the 4-month period from December 2010 until the end of March 2011. This revealed the average MRSA acquisition rate during hospitalization to be 5%. Using this information we can estimate (Figure 1) the number of patients who were unidentified MRSA carriers. This group includes some among those who missed screening and some who screened MRSA-negative on admission but who actually were already colonized or who became colonized while in hospital. It is this whole group of unidentified MRSA carriers who are at risk for progression to actual MRSA infection. </w:t>
      </w:r>
      <w:r w:rsidRPr="009551E2">
        <w:rPr>
          <w:rFonts w:ascii="Arial" w:hAnsi="Arial" w:cs="Arial"/>
          <w:sz w:val="24"/>
          <w:szCs w:val="24"/>
        </w:rPr>
        <w:lastRenderedPageBreak/>
        <w:t>The grand total of cases estimated to be undetected carriers and not getting daily CHG baths because they were either unscreened or tested MRSA-negative on entry is 5391.</w:t>
      </w:r>
    </w:p>
    <w:p w:rsidR="002D368A" w:rsidRPr="009551E2" w:rsidRDefault="002D368A" w:rsidP="005F334F">
      <w:pPr>
        <w:spacing w:line="480" w:lineRule="auto"/>
        <w:rPr>
          <w:rFonts w:ascii="Arial" w:hAnsi="Arial" w:cs="Arial"/>
          <w:sz w:val="24"/>
          <w:szCs w:val="24"/>
        </w:rPr>
      </w:pPr>
      <w:r w:rsidRPr="009551E2">
        <w:rPr>
          <w:rFonts w:ascii="Arial" w:hAnsi="Arial" w:cs="Arial"/>
          <w:sz w:val="24"/>
          <w:szCs w:val="24"/>
        </w:rPr>
        <w:t>Cumulative results over the years 2011, 2012 and 2013 reveal the following: 4598 cases tested MRSA-positive on entry and as mandated by hospital infection control policy all these cases were to receive daily CHG baths throughout their hospitalization. Compliance to the policy is high and thus the great majority of patients followed this intervention. Only 4 cases (0.087%) among this cohort developed HA-MRSA infection.</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 xml:space="preserve">5391 cases who either tested MRSA-negative or who missed screening are estimated to have been colonized with MRSA either through false-negative entry screening or through in-hospital acquisition. As per hospital infection control policy these cases did not </w:t>
      </w:r>
      <w:r w:rsidR="00D541E3">
        <w:rPr>
          <w:rFonts w:ascii="Arial" w:hAnsi="Arial" w:cs="Arial"/>
          <w:sz w:val="24"/>
          <w:szCs w:val="24"/>
        </w:rPr>
        <w:t>receive</w:t>
      </w:r>
      <w:r w:rsidR="00D541E3" w:rsidRPr="009551E2">
        <w:rPr>
          <w:rFonts w:ascii="Arial" w:hAnsi="Arial" w:cs="Arial"/>
          <w:sz w:val="24"/>
          <w:szCs w:val="24"/>
        </w:rPr>
        <w:t xml:space="preserve"> </w:t>
      </w:r>
      <w:r w:rsidRPr="009551E2">
        <w:rPr>
          <w:rFonts w:ascii="Arial" w:hAnsi="Arial" w:cs="Arial"/>
          <w:sz w:val="24"/>
          <w:szCs w:val="24"/>
        </w:rPr>
        <w:t xml:space="preserve">daily CHG baths </w:t>
      </w:r>
      <w:r w:rsidR="00D541E3">
        <w:rPr>
          <w:rFonts w:ascii="Arial" w:hAnsi="Arial" w:cs="Arial"/>
          <w:sz w:val="24"/>
          <w:szCs w:val="24"/>
        </w:rPr>
        <w:t>during</w:t>
      </w:r>
      <w:r w:rsidRPr="009551E2">
        <w:rPr>
          <w:rFonts w:ascii="Arial" w:hAnsi="Arial" w:cs="Arial"/>
          <w:sz w:val="24"/>
          <w:szCs w:val="24"/>
        </w:rPr>
        <w:t xml:space="preserve"> hospitalization. 36 cases (0.67%</w:t>
      </w:r>
      <w:r w:rsidRPr="009551E2">
        <w:rPr>
          <w:rFonts w:ascii="Arial" w:hAnsi="Arial" w:cs="Arial"/>
          <w:b/>
          <w:sz w:val="24"/>
          <w:szCs w:val="24"/>
        </w:rPr>
        <w:t xml:space="preserve">) </w:t>
      </w:r>
      <w:r w:rsidRPr="009551E2">
        <w:rPr>
          <w:rFonts w:ascii="Arial" w:hAnsi="Arial" w:cs="Arial"/>
          <w:sz w:val="24"/>
          <w:szCs w:val="24"/>
        </w:rPr>
        <w:t>among this estimated cohort developed HA-MRSA infection. Only 5/36 (13.9 %) were Intermediate and Long-Term Care (ILTC) sector patients. For these 36 cases the mean length of stay (LOS) until HA-MRSA infection occurred was 33.6 days (range 3-112 days; standard deviation (SD) 30.2 days). The mean overall LOS for these 36 cases was 55.8 days (range 11-144 days; SD 33.7 days)</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Based on these findings the odds ratio (OR) for developing HA-MRSA infection for MRSA-colonized patients who receive daily CHG baths while in hospital is 0.129; P=0.0001; (95% confidence interval (CI) 0.046 – 0.364; Number-needed-to-treat (NNT) = 172). Another way of stating this is that for MRSA-carriers there is nearly an 8-fold reduction in HA-MRSA infections when daily CHG baths are being given.</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lastRenderedPageBreak/>
        <w:t>To further highlight the protective effect of daily CHG baths we present the following data (</w:t>
      </w:r>
      <w:r w:rsidR="00AF77D7" w:rsidRPr="009551E2">
        <w:rPr>
          <w:rFonts w:ascii="Arial" w:hAnsi="Arial" w:cs="Arial"/>
          <w:sz w:val="24"/>
          <w:szCs w:val="24"/>
        </w:rPr>
        <w:t>T</w:t>
      </w:r>
      <w:r w:rsidRPr="009551E2">
        <w:rPr>
          <w:rFonts w:ascii="Arial" w:hAnsi="Arial" w:cs="Arial"/>
          <w:sz w:val="24"/>
          <w:szCs w:val="24"/>
        </w:rPr>
        <w:t>able</w:t>
      </w:r>
      <w:r w:rsidR="00AF77D7" w:rsidRPr="009551E2">
        <w:rPr>
          <w:rFonts w:ascii="Arial" w:hAnsi="Arial" w:cs="Arial"/>
          <w:sz w:val="24"/>
          <w:szCs w:val="24"/>
        </w:rPr>
        <w:t xml:space="preserve"> II</w:t>
      </w:r>
      <w:r w:rsidR="00366F58">
        <w:rPr>
          <w:rFonts w:ascii="Arial" w:hAnsi="Arial" w:cs="Arial"/>
          <w:sz w:val="24"/>
          <w:szCs w:val="24"/>
        </w:rPr>
        <w:t>I</w:t>
      </w:r>
      <w:r w:rsidRPr="009551E2">
        <w:rPr>
          <w:rFonts w:ascii="Arial" w:hAnsi="Arial" w:cs="Arial"/>
          <w:sz w:val="24"/>
          <w:szCs w:val="24"/>
        </w:rPr>
        <w:t>) showing the contribution of the Intermediate and Long-Term Care (ILTC) sector to the overall MRSA-carriage burden as detected in our hospital.</w:t>
      </w:r>
    </w:p>
    <w:p w:rsidR="002D368A" w:rsidRPr="009551E2" w:rsidRDefault="005D4FE0" w:rsidP="002D368A">
      <w:pPr>
        <w:rPr>
          <w:rFonts w:ascii="Arial" w:hAnsi="Arial" w:cs="Arial"/>
          <w:b/>
          <w:sz w:val="24"/>
          <w:szCs w:val="24"/>
        </w:rPr>
      </w:pPr>
      <w:r w:rsidRPr="009551E2">
        <w:rPr>
          <w:rFonts w:ascii="Arial" w:hAnsi="Arial" w:cs="Arial"/>
          <w:b/>
          <w:sz w:val="24"/>
          <w:szCs w:val="24"/>
        </w:rPr>
        <w:t>DISCUSSION</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 xml:space="preserve">To our knowledge this is only the third study to date which has looked at the impact of daily CHG bathing on preventing hospital-acquired infections in General Ward patients. The study by Rupp </w:t>
      </w:r>
      <w:proofErr w:type="gramStart"/>
      <w:r w:rsidRPr="009551E2">
        <w:rPr>
          <w:rFonts w:ascii="Arial" w:hAnsi="Arial" w:cs="Arial"/>
          <w:sz w:val="24"/>
          <w:szCs w:val="24"/>
        </w:rPr>
        <w:t>et</w:t>
      </w:r>
      <w:proofErr w:type="gramEnd"/>
      <w:r w:rsidRPr="009551E2">
        <w:rPr>
          <w:rFonts w:ascii="Arial" w:hAnsi="Arial" w:cs="Arial"/>
          <w:sz w:val="24"/>
          <w:szCs w:val="24"/>
        </w:rPr>
        <w:t xml:space="preserve"> al</w:t>
      </w:r>
      <w:r w:rsidR="00345097" w:rsidRPr="009551E2">
        <w:rPr>
          <w:rFonts w:ascii="Arial" w:hAnsi="Arial" w:cs="Arial"/>
          <w:sz w:val="24"/>
          <w:szCs w:val="24"/>
          <w:vertAlign w:val="superscript"/>
        </w:rPr>
        <w:t>4</w:t>
      </w:r>
      <w:r w:rsidRPr="009551E2">
        <w:rPr>
          <w:rFonts w:ascii="Arial" w:hAnsi="Arial" w:cs="Arial"/>
          <w:sz w:val="24"/>
          <w:szCs w:val="24"/>
        </w:rPr>
        <w:t xml:space="preserve"> reported a significant reduction in </w:t>
      </w:r>
      <w:r w:rsidRPr="009551E2">
        <w:rPr>
          <w:rFonts w:ascii="Arial" w:hAnsi="Arial" w:cs="Arial"/>
          <w:i/>
          <w:sz w:val="24"/>
          <w:szCs w:val="24"/>
        </w:rPr>
        <w:t xml:space="preserve">Clostridium </w:t>
      </w:r>
      <w:proofErr w:type="spellStart"/>
      <w:r w:rsidRPr="009551E2">
        <w:rPr>
          <w:rFonts w:ascii="Arial" w:hAnsi="Arial" w:cs="Arial"/>
          <w:i/>
          <w:sz w:val="24"/>
          <w:szCs w:val="24"/>
        </w:rPr>
        <w:t>difficile</w:t>
      </w:r>
      <w:proofErr w:type="spellEnd"/>
      <w:r w:rsidRPr="009551E2">
        <w:rPr>
          <w:rFonts w:ascii="Arial" w:hAnsi="Arial" w:cs="Arial"/>
          <w:sz w:val="24"/>
          <w:szCs w:val="24"/>
        </w:rPr>
        <w:t xml:space="preserve"> infections using hospital-wide CHG bathing. They employed a different approach from ours. Their study compared baseline rates of HAI’s to those observed during an initial period of CHG bathing limited to three times per week, followed by a period where daily CHG bathing was used. There was a final washout period where CHG bathing was not used. </w:t>
      </w:r>
      <w:r w:rsidRPr="009551E2">
        <w:rPr>
          <w:rFonts w:ascii="Arial" w:hAnsi="Arial" w:cs="Arial"/>
          <w:i/>
          <w:sz w:val="24"/>
          <w:szCs w:val="24"/>
        </w:rPr>
        <w:t xml:space="preserve">Clostridium </w:t>
      </w:r>
      <w:proofErr w:type="spellStart"/>
      <w:r w:rsidRPr="009551E2">
        <w:rPr>
          <w:rFonts w:ascii="Arial" w:hAnsi="Arial" w:cs="Arial"/>
          <w:i/>
          <w:sz w:val="24"/>
          <w:szCs w:val="24"/>
        </w:rPr>
        <w:t>difficile</w:t>
      </w:r>
      <w:proofErr w:type="spellEnd"/>
      <w:r w:rsidRPr="009551E2">
        <w:rPr>
          <w:rFonts w:ascii="Arial" w:hAnsi="Arial" w:cs="Arial"/>
          <w:i/>
          <w:sz w:val="24"/>
          <w:szCs w:val="24"/>
        </w:rPr>
        <w:t xml:space="preserve"> </w:t>
      </w:r>
      <w:r w:rsidRPr="009551E2">
        <w:rPr>
          <w:rFonts w:ascii="Arial" w:hAnsi="Arial" w:cs="Arial"/>
          <w:sz w:val="24"/>
          <w:szCs w:val="24"/>
        </w:rPr>
        <w:t xml:space="preserve">infections declined significantly during the CHG intervention period but rose significantly once CHG bathing was stopped. VRE colonization and infection rates did decline significantly during the intervention period but did not rebound when CHG bathing stopped. They comment that because the overall rates of HAI were low a statistically significant reduction in VRE and MRSA infections could not be demonstrated.  The study by </w:t>
      </w:r>
      <w:proofErr w:type="spellStart"/>
      <w:r w:rsidRPr="009551E2">
        <w:rPr>
          <w:rFonts w:ascii="Arial" w:hAnsi="Arial" w:cs="Arial"/>
          <w:sz w:val="24"/>
          <w:szCs w:val="24"/>
        </w:rPr>
        <w:t>Kassakian</w:t>
      </w:r>
      <w:proofErr w:type="spellEnd"/>
      <w:r w:rsidRPr="009551E2">
        <w:rPr>
          <w:rFonts w:ascii="Arial" w:hAnsi="Arial" w:cs="Arial"/>
          <w:sz w:val="24"/>
          <w:szCs w:val="24"/>
        </w:rPr>
        <w:t xml:space="preserve"> et al</w:t>
      </w:r>
      <w:r w:rsidR="00345097" w:rsidRPr="009551E2">
        <w:rPr>
          <w:rFonts w:ascii="Arial" w:hAnsi="Arial" w:cs="Arial"/>
          <w:sz w:val="24"/>
          <w:szCs w:val="24"/>
          <w:vertAlign w:val="superscript"/>
        </w:rPr>
        <w:t>5</w:t>
      </w:r>
      <w:r w:rsidR="00345097" w:rsidRPr="009551E2">
        <w:rPr>
          <w:rFonts w:ascii="Arial" w:hAnsi="Arial" w:cs="Arial"/>
          <w:sz w:val="24"/>
          <w:szCs w:val="24"/>
        </w:rPr>
        <w:t xml:space="preserve"> </w:t>
      </w:r>
      <w:r w:rsidRPr="009551E2">
        <w:rPr>
          <w:rFonts w:ascii="Arial" w:hAnsi="Arial" w:cs="Arial"/>
          <w:sz w:val="24"/>
          <w:szCs w:val="24"/>
        </w:rPr>
        <w:t>compared hospital-acquired MRSA</w:t>
      </w:r>
      <w:proofErr w:type="gramStart"/>
      <w:r w:rsidRPr="009551E2">
        <w:rPr>
          <w:rFonts w:ascii="Arial" w:hAnsi="Arial" w:cs="Arial"/>
          <w:sz w:val="24"/>
          <w:szCs w:val="24"/>
        </w:rPr>
        <w:t>,VRE</w:t>
      </w:r>
      <w:proofErr w:type="gramEnd"/>
      <w:r w:rsidRPr="009551E2">
        <w:rPr>
          <w:rFonts w:ascii="Arial" w:hAnsi="Arial" w:cs="Arial"/>
          <w:sz w:val="24"/>
          <w:szCs w:val="24"/>
        </w:rPr>
        <w:t xml:space="preserve">, and </w:t>
      </w:r>
      <w:proofErr w:type="spellStart"/>
      <w:r w:rsidR="00345097" w:rsidRPr="009551E2">
        <w:rPr>
          <w:rFonts w:ascii="Arial" w:hAnsi="Arial" w:cs="Arial"/>
          <w:sz w:val="24"/>
          <w:szCs w:val="24"/>
        </w:rPr>
        <w:t>C.d</w:t>
      </w:r>
      <w:r w:rsidRPr="009551E2">
        <w:rPr>
          <w:rFonts w:ascii="Arial" w:hAnsi="Arial" w:cs="Arial"/>
          <w:sz w:val="24"/>
          <w:szCs w:val="24"/>
        </w:rPr>
        <w:t>iff</w:t>
      </w:r>
      <w:proofErr w:type="spellEnd"/>
      <w:r w:rsidRPr="009551E2">
        <w:rPr>
          <w:rFonts w:ascii="Arial" w:hAnsi="Arial" w:cs="Arial"/>
          <w:sz w:val="24"/>
          <w:szCs w:val="24"/>
        </w:rPr>
        <w:t xml:space="preserve">. </w:t>
      </w:r>
      <w:proofErr w:type="gramStart"/>
      <w:r w:rsidRPr="009551E2">
        <w:rPr>
          <w:rFonts w:ascii="Arial" w:hAnsi="Arial" w:cs="Arial"/>
          <w:sz w:val="24"/>
          <w:szCs w:val="24"/>
        </w:rPr>
        <w:t>infection</w:t>
      </w:r>
      <w:proofErr w:type="gramEnd"/>
      <w:r w:rsidRPr="009551E2">
        <w:rPr>
          <w:rFonts w:ascii="Arial" w:hAnsi="Arial" w:cs="Arial"/>
          <w:sz w:val="24"/>
          <w:szCs w:val="24"/>
        </w:rPr>
        <w:t xml:space="preserve"> rates for all medical admissions over two sequential time periods of about one-year each. During the first time period only daily bathing with soap and water was used. During the second time period daily CHG bathing was used. A significant reduction was demonstrated for HA</w:t>
      </w:r>
      <w:r w:rsidR="00345097" w:rsidRPr="009551E2">
        <w:rPr>
          <w:rFonts w:ascii="Arial" w:hAnsi="Arial" w:cs="Arial"/>
          <w:sz w:val="24"/>
          <w:szCs w:val="24"/>
        </w:rPr>
        <w:t>-MRSA and VRE infections but not for HA-</w:t>
      </w:r>
      <w:proofErr w:type="spellStart"/>
      <w:r w:rsidR="00345097" w:rsidRPr="009551E2">
        <w:rPr>
          <w:rFonts w:ascii="Arial" w:hAnsi="Arial" w:cs="Arial"/>
          <w:sz w:val="24"/>
          <w:szCs w:val="24"/>
        </w:rPr>
        <w:t>C.d</w:t>
      </w:r>
      <w:r w:rsidRPr="009551E2">
        <w:rPr>
          <w:rFonts w:ascii="Arial" w:hAnsi="Arial" w:cs="Arial"/>
          <w:sz w:val="24"/>
          <w:szCs w:val="24"/>
        </w:rPr>
        <w:t>ifficile</w:t>
      </w:r>
      <w:proofErr w:type="spellEnd"/>
      <w:r w:rsidRPr="009551E2">
        <w:rPr>
          <w:rFonts w:ascii="Arial" w:hAnsi="Arial" w:cs="Arial"/>
          <w:sz w:val="24"/>
          <w:szCs w:val="24"/>
        </w:rPr>
        <w:t xml:space="preserve"> </w:t>
      </w:r>
      <w:r w:rsidR="00345097" w:rsidRPr="009551E2">
        <w:rPr>
          <w:rFonts w:ascii="Arial" w:hAnsi="Arial" w:cs="Arial"/>
          <w:sz w:val="24"/>
          <w:szCs w:val="24"/>
        </w:rPr>
        <w:t>infections</w:t>
      </w:r>
      <w:r w:rsidR="00345097" w:rsidRPr="009551E2">
        <w:rPr>
          <w:rFonts w:ascii="Arial" w:hAnsi="Arial" w:cs="Arial"/>
          <w:color w:val="FF0000"/>
          <w:sz w:val="24"/>
          <w:szCs w:val="24"/>
        </w:rPr>
        <w:t xml:space="preserve"> </w:t>
      </w:r>
      <w:r w:rsidRPr="009551E2">
        <w:rPr>
          <w:rFonts w:ascii="Arial" w:hAnsi="Arial" w:cs="Arial"/>
          <w:sz w:val="24"/>
          <w:szCs w:val="24"/>
        </w:rPr>
        <w:t>during the interval when daily CHG bathing was employed.</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lastRenderedPageBreak/>
        <w:t xml:space="preserve">Our approach involves a retrospective analysis of three years of accumulated data looking specifically at HA-MRSA rates in two cohorts as described above. Our OR calculation depends on four variables, three of which are easily measured and one of which is a reliable estimate.  The measured variables are: a) total MRSA-colonized cases detected on admission = 4598; b) total MRSA-entry-positive cases </w:t>
      </w:r>
      <w:proofErr w:type="gramStart"/>
      <w:r w:rsidRPr="009551E2">
        <w:rPr>
          <w:rFonts w:ascii="Arial" w:hAnsi="Arial" w:cs="Arial"/>
          <w:sz w:val="24"/>
          <w:szCs w:val="24"/>
        </w:rPr>
        <w:t>who</w:t>
      </w:r>
      <w:proofErr w:type="gramEnd"/>
      <w:r w:rsidRPr="009551E2">
        <w:rPr>
          <w:rFonts w:ascii="Arial" w:hAnsi="Arial" w:cs="Arial"/>
          <w:sz w:val="24"/>
          <w:szCs w:val="24"/>
        </w:rPr>
        <w:t xml:space="preserve"> developed HA-MRSA infection = 4; c) total MRSA-entry-negative cases who developed HA-MRSA infection = 36. The one variable that is estimated is the number of cases with undetected MRSA-carriage. These are the cases that are at risk for progression to HA-MRSA infection. This estimated number provides the denominator for calculating the infection rate for our second cohort and is about 5391 cases. Even if this number were underestimated it would have to be greater than 14,746 cases at which point OR = 0.36 and the P value would be &gt; 0.05 and no longer statistically significant. This would mean that 18.4% (14,746/ (84,777 – 4598)) of all our MRSA-entry-negative cases would have to acquire MRSA while in hospital, which is clearly not the case. If this were happening we would be seeing our entry-positive MRSA prevalence steadily rising. Indeed over the past 3 years our MRSA-entry-positive rates are very stable with little variation from the overall monthly average of 6.57% (SD=0.93, Variance= 0.87). Hence we can be quite confident that our results are indeed significant. </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Our data demonstrate that the simple strategy of daily CHG bathing for MRSA-colonized patients throughout their hospital stay renders a significant preventive effect on HA-MRSA infections in this group. This effect is all the more impressive given that this is a high-risk cohort. Indeed 1447 (31.5%) cases of the total of 4598 detected MRSA-carriers came from another institution classified as an Intermediate or Long-</w:t>
      </w:r>
      <w:r w:rsidRPr="009551E2">
        <w:rPr>
          <w:rFonts w:ascii="Arial" w:hAnsi="Arial" w:cs="Arial"/>
          <w:sz w:val="24"/>
          <w:szCs w:val="24"/>
        </w:rPr>
        <w:lastRenderedPageBreak/>
        <w:t xml:space="preserve">Term Care (ILTC) facility. Many of these patients (especially the ones from Nursing Homes which made up 77.4% of the cases from the ILTC Sector) have multiple co-morbidities and require long-term nasogastric feeding tubes and/or long-term urinary catheters. The average length-of-stay (LOS) of this group of 1447 ILTC sector patients in fact was 15.6 days, nearly 3 times longer than the overall average LOS of 5.6 days for our entire patient population. </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The reason for the observed protective effect of daily CHG bathing for MRSA-colonized patients is likely the reduction in overall MRSA load that any particular individual is carrying. This antimicrobial effect persists for at least 24 hours because CHG binds strongly to proteins in the skin.</w:t>
      </w:r>
      <w:r w:rsidR="00345097" w:rsidRPr="009551E2">
        <w:rPr>
          <w:rFonts w:ascii="Arial" w:hAnsi="Arial" w:cs="Arial"/>
          <w:sz w:val="24"/>
          <w:szCs w:val="24"/>
          <w:vertAlign w:val="superscript"/>
        </w:rPr>
        <w:t>7,8</w:t>
      </w:r>
      <w:r w:rsidRPr="009551E2">
        <w:rPr>
          <w:rFonts w:ascii="Arial" w:hAnsi="Arial" w:cs="Arial"/>
          <w:sz w:val="24"/>
          <w:szCs w:val="24"/>
        </w:rPr>
        <w:t xml:space="preserve"> As the data were not easily obtainable we did not look at the protective effect of CHG bathing against other organisms where skin colonization may play a role in developing infection. These may include organisms such as </w:t>
      </w:r>
      <w:r w:rsidRPr="009551E2">
        <w:rPr>
          <w:rFonts w:ascii="Arial" w:hAnsi="Arial" w:cs="Arial"/>
          <w:i/>
          <w:sz w:val="24"/>
          <w:szCs w:val="24"/>
        </w:rPr>
        <w:t xml:space="preserve">MSSA, </w:t>
      </w:r>
      <w:proofErr w:type="spellStart"/>
      <w:r w:rsidRPr="009551E2">
        <w:rPr>
          <w:rFonts w:ascii="Arial" w:hAnsi="Arial" w:cs="Arial"/>
          <w:i/>
          <w:sz w:val="24"/>
          <w:szCs w:val="24"/>
        </w:rPr>
        <w:t>Acinetobacter</w:t>
      </w:r>
      <w:proofErr w:type="spellEnd"/>
      <w:r w:rsidRPr="009551E2">
        <w:rPr>
          <w:rFonts w:ascii="Arial" w:hAnsi="Arial" w:cs="Arial"/>
          <w:i/>
          <w:sz w:val="24"/>
          <w:szCs w:val="24"/>
        </w:rPr>
        <w:t xml:space="preserve"> </w:t>
      </w:r>
      <w:proofErr w:type="spellStart"/>
      <w:r w:rsidRPr="009551E2">
        <w:rPr>
          <w:rFonts w:ascii="Arial" w:hAnsi="Arial" w:cs="Arial"/>
          <w:i/>
          <w:sz w:val="24"/>
          <w:szCs w:val="24"/>
        </w:rPr>
        <w:t>Baumanii</w:t>
      </w:r>
      <w:proofErr w:type="spellEnd"/>
      <w:r w:rsidRPr="009551E2">
        <w:rPr>
          <w:rFonts w:ascii="Arial" w:hAnsi="Arial" w:cs="Arial"/>
          <w:sz w:val="24"/>
          <w:szCs w:val="24"/>
        </w:rPr>
        <w:t xml:space="preserve"> and </w:t>
      </w:r>
      <w:r w:rsidRPr="009551E2">
        <w:rPr>
          <w:rFonts w:ascii="Arial" w:hAnsi="Arial" w:cs="Arial"/>
          <w:i/>
          <w:sz w:val="24"/>
          <w:szCs w:val="24"/>
        </w:rPr>
        <w:t>VRE.</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The data (Figure 1) also suggest in-hospital MRSA transmission in our setting is responsible for the majority (73%) of unidentified in-house MRSA carriers (</w:t>
      </w:r>
      <w:r w:rsidR="00F96B6E" w:rsidRPr="009551E2">
        <w:rPr>
          <w:rFonts w:ascii="Arial" w:hAnsi="Arial" w:cs="Arial"/>
          <w:sz w:val="24"/>
          <w:szCs w:val="24"/>
        </w:rPr>
        <w:t>about</w:t>
      </w:r>
      <w:r w:rsidRPr="009551E2">
        <w:rPr>
          <w:rFonts w:ascii="Arial" w:hAnsi="Arial" w:cs="Arial"/>
          <w:sz w:val="24"/>
          <w:szCs w:val="24"/>
        </w:rPr>
        <w:t xml:space="preserve"> 3936 out of estimated 5391 cases). Missed screening accounted for an estimated 971 cases (18%) of unidentified carriers. Finally we estimate 484 cases (9%) were missed due to failure of our PCR detection test (sensitivity 92%). To address these gaps in our processes we are reinforcing basic infection control principles such as hand-hygiene compliance, contact precautions and environmental cleaning. At the same time measures are being taken to reduce the number of cases that miss entry screening. </w:t>
      </w:r>
    </w:p>
    <w:p w:rsidR="002D368A" w:rsidRPr="009551E2" w:rsidRDefault="002D368A" w:rsidP="002D368A">
      <w:pPr>
        <w:spacing w:line="480" w:lineRule="auto"/>
        <w:rPr>
          <w:rFonts w:ascii="Arial" w:hAnsi="Arial" w:cs="Arial"/>
          <w:b/>
          <w:sz w:val="24"/>
          <w:szCs w:val="24"/>
        </w:rPr>
      </w:pPr>
      <w:r w:rsidRPr="009551E2">
        <w:rPr>
          <w:rFonts w:ascii="Arial" w:hAnsi="Arial" w:cs="Arial"/>
          <w:sz w:val="24"/>
          <w:szCs w:val="24"/>
        </w:rPr>
        <w:lastRenderedPageBreak/>
        <w:t>We should be genuinely concerned by reports of MRSA strains which have developed resistance to Chlorhexidine.</w:t>
      </w:r>
      <w:r w:rsidR="00345097" w:rsidRPr="009551E2">
        <w:rPr>
          <w:rFonts w:ascii="Arial" w:hAnsi="Arial" w:cs="Arial"/>
          <w:sz w:val="24"/>
          <w:szCs w:val="24"/>
          <w:vertAlign w:val="superscript"/>
        </w:rPr>
        <w:t>9</w:t>
      </w:r>
      <w:r w:rsidRPr="009551E2">
        <w:rPr>
          <w:rFonts w:ascii="Arial" w:hAnsi="Arial" w:cs="Arial"/>
          <w:sz w:val="24"/>
          <w:szCs w:val="24"/>
        </w:rPr>
        <w:t xml:space="preserve"> Hence, despite the apparent protective benefits from daily in-hospital CHG </w:t>
      </w:r>
      <w:proofErr w:type="gramStart"/>
      <w:r w:rsidRPr="009551E2">
        <w:rPr>
          <w:rFonts w:ascii="Arial" w:hAnsi="Arial" w:cs="Arial"/>
          <w:sz w:val="24"/>
          <w:szCs w:val="24"/>
        </w:rPr>
        <w:t>baths,</w:t>
      </w:r>
      <w:proofErr w:type="gramEnd"/>
      <w:r w:rsidRPr="009551E2">
        <w:rPr>
          <w:rFonts w:ascii="Arial" w:hAnsi="Arial" w:cs="Arial"/>
          <w:sz w:val="24"/>
          <w:szCs w:val="24"/>
        </w:rPr>
        <w:t xml:space="preserve"> we need to use this anti-septic agent judiciously.  This is the rationale for our policy of stopping daily CHG baths for patients whose MRSA-entry-screen comes back negative. Nevertheless it would seem reasonable to extend the protective effects of daily CHG bathing to a wider group of patients deemed to be at high-risk for MRSA acquisition. For example, a risk-prediction tool</w:t>
      </w:r>
      <w:r w:rsidR="00345097" w:rsidRPr="009551E2">
        <w:rPr>
          <w:rFonts w:ascii="Arial" w:hAnsi="Arial" w:cs="Arial"/>
          <w:sz w:val="24"/>
          <w:szCs w:val="24"/>
          <w:vertAlign w:val="superscript"/>
        </w:rPr>
        <w:t>10</w:t>
      </w:r>
      <w:r w:rsidRPr="009551E2">
        <w:rPr>
          <w:rFonts w:ascii="Arial" w:hAnsi="Arial" w:cs="Arial"/>
          <w:sz w:val="24"/>
          <w:szCs w:val="24"/>
        </w:rPr>
        <w:t xml:space="preserve"> for MRSA-carriage in the form of a checklist can be applied to all patients on admission. Those above a threshold score would receive daily CHG baths regardless of MRSA carrier status. MRSA acquisition is also closely associated with a patient’s LOS in hospital. Hence another group to be targeted is long-stayers. </w:t>
      </w:r>
      <w:r w:rsidRPr="009551E2">
        <w:rPr>
          <w:rFonts w:ascii="Times New Roman" w:hAnsi="Times New Roman"/>
          <w:sz w:val="24"/>
          <w:szCs w:val="24"/>
        </w:rPr>
        <w:br w:type="page"/>
      </w:r>
      <w:r w:rsidRPr="009551E2">
        <w:rPr>
          <w:rFonts w:ascii="Arial" w:hAnsi="Arial" w:cs="Arial"/>
          <w:b/>
          <w:sz w:val="24"/>
          <w:szCs w:val="24"/>
        </w:rPr>
        <w:lastRenderedPageBreak/>
        <w:t>ACKNOWLEDGEMENTS</w:t>
      </w:r>
    </w:p>
    <w:p w:rsidR="009520B1" w:rsidRPr="009551E2" w:rsidRDefault="009520B1" w:rsidP="002D368A">
      <w:pPr>
        <w:spacing w:line="480" w:lineRule="auto"/>
        <w:rPr>
          <w:rFonts w:ascii="Arial" w:hAnsi="Arial" w:cs="Arial"/>
          <w:sz w:val="24"/>
          <w:szCs w:val="24"/>
        </w:rPr>
      </w:pPr>
      <w:r w:rsidRPr="009551E2">
        <w:rPr>
          <w:rFonts w:ascii="Arial" w:hAnsi="Arial" w:cs="Arial"/>
          <w:sz w:val="24"/>
          <w:szCs w:val="24"/>
        </w:rPr>
        <w:t>None</w:t>
      </w:r>
    </w:p>
    <w:p w:rsidR="009520B1" w:rsidRPr="009551E2" w:rsidRDefault="009520B1" w:rsidP="002D368A">
      <w:pPr>
        <w:spacing w:line="480" w:lineRule="auto"/>
        <w:rPr>
          <w:rFonts w:ascii="Arial" w:hAnsi="Arial" w:cs="Arial"/>
          <w:b/>
          <w:sz w:val="24"/>
          <w:szCs w:val="24"/>
        </w:rPr>
      </w:pPr>
      <w:r w:rsidRPr="009551E2">
        <w:rPr>
          <w:rFonts w:ascii="Arial" w:hAnsi="Arial" w:cs="Arial"/>
          <w:b/>
          <w:sz w:val="24"/>
          <w:szCs w:val="24"/>
        </w:rPr>
        <w:t>FUNDING</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The data set used for this study was derived from MRSA entry-screening mandated by hospital infection control policy. No special funding was needed.</w:t>
      </w:r>
    </w:p>
    <w:p w:rsidR="009520B1" w:rsidRPr="009551E2" w:rsidRDefault="009520B1" w:rsidP="002D368A">
      <w:pPr>
        <w:spacing w:line="480" w:lineRule="auto"/>
        <w:rPr>
          <w:rFonts w:ascii="Arial" w:hAnsi="Arial" w:cs="Arial"/>
          <w:b/>
          <w:sz w:val="24"/>
          <w:szCs w:val="24"/>
        </w:rPr>
      </w:pPr>
      <w:r w:rsidRPr="009551E2">
        <w:rPr>
          <w:rFonts w:ascii="Arial" w:hAnsi="Arial" w:cs="Arial"/>
          <w:b/>
          <w:sz w:val="24"/>
          <w:szCs w:val="24"/>
        </w:rPr>
        <w:t>POTENTIAL CONFLICTS OF INTEREST</w:t>
      </w:r>
      <w:r w:rsidRPr="009551E2">
        <w:rPr>
          <w:rFonts w:ascii="Arial" w:hAnsi="Arial" w:cs="Arial"/>
          <w:b/>
          <w:i/>
          <w:sz w:val="24"/>
          <w:szCs w:val="24"/>
        </w:rPr>
        <w:t xml:space="preserve"> </w:t>
      </w:r>
      <w:r w:rsidRPr="009551E2">
        <w:rPr>
          <w:rFonts w:ascii="Arial" w:hAnsi="Arial" w:cs="Arial"/>
          <w:b/>
          <w:sz w:val="24"/>
          <w:szCs w:val="24"/>
        </w:rPr>
        <w:t xml:space="preserve"> </w:t>
      </w:r>
    </w:p>
    <w:p w:rsidR="002D368A" w:rsidRPr="009551E2" w:rsidRDefault="002D368A" w:rsidP="002D368A">
      <w:pPr>
        <w:spacing w:line="480" w:lineRule="auto"/>
        <w:rPr>
          <w:rFonts w:ascii="Arial" w:hAnsi="Arial" w:cs="Arial"/>
          <w:sz w:val="24"/>
          <w:szCs w:val="24"/>
        </w:rPr>
      </w:pPr>
      <w:r w:rsidRPr="009551E2">
        <w:rPr>
          <w:rFonts w:ascii="Arial" w:hAnsi="Arial" w:cs="Arial"/>
          <w:sz w:val="24"/>
          <w:szCs w:val="24"/>
        </w:rPr>
        <w:t xml:space="preserve">All authors report no conflicts of interest relevant to this article. </w:t>
      </w:r>
    </w:p>
    <w:p w:rsidR="009520B1" w:rsidRPr="009551E2" w:rsidRDefault="009520B1" w:rsidP="002D368A">
      <w:pPr>
        <w:spacing w:line="480" w:lineRule="auto"/>
        <w:rPr>
          <w:rFonts w:ascii="Arial" w:hAnsi="Arial" w:cs="Arial"/>
          <w:b/>
          <w:sz w:val="24"/>
          <w:szCs w:val="24"/>
        </w:rPr>
      </w:pPr>
      <w:r w:rsidRPr="009551E2">
        <w:rPr>
          <w:rFonts w:ascii="Arial" w:hAnsi="Arial" w:cs="Arial"/>
          <w:b/>
          <w:sz w:val="24"/>
          <w:szCs w:val="24"/>
        </w:rPr>
        <w:t>ETHICAL APPROVAL</w:t>
      </w:r>
    </w:p>
    <w:p w:rsidR="009520B1" w:rsidRPr="009551E2" w:rsidRDefault="009520B1" w:rsidP="002D368A">
      <w:pPr>
        <w:spacing w:line="480" w:lineRule="auto"/>
        <w:rPr>
          <w:rFonts w:ascii="Arial" w:hAnsi="Arial" w:cs="Arial"/>
          <w:sz w:val="24"/>
          <w:szCs w:val="24"/>
        </w:rPr>
      </w:pPr>
      <w:r w:rsidRPr="009551E2">
        <w:rPr>
          <w:rFonts w:ascii="Arial" w:hAnsi="Arial" w:cs="Arial"/>
          <w:sz w:val="24"/>
          <w:szCs w:val="24"/>
        </w:rPr>
        <w:t>The use of this data-set has received approval of exemption from the National Healthcare Group Domain Specific Review Board (NHG-DSRB) of Singapore</w:t>
      </w:r>
    </w:p>
    <w:p w:rsidR="009520B1" w:rsidRPr="009551E2" w:rsidRDefault="002D368A" w:rsidP="009520B1">
      <w:pPr>
        <w:spacing w:line="480" w:lineRule="auto"/>
        <w:rPr>
          <w:rFonts w:ascii="Arial" w:hAnsi="Arial" w:cs="Arial"/>
          <w:b/>
          <w:sz w:val="24"/>
          <w:szCs w:val="24"/>
        </w:rPr>
      </w:pPr>
      <w:r w:rsidRPr="009551E2">
        <w:rPr>
          <w:rFonts w:ascii="Arial" w:hAnsi="Arial" w:cs="Arial"/>
          <w:b/>
          <w:sz w:val="24"/>
          <w:szCs w:val="24"/>
        </w:rPr>
        <w:t>REFERENCES</w:t>
      </w:r>
    </w:p>
    <w:p w:rsidR="002D368A" w:rsidRPr="005F334F" w:rsidRDefault="00983B11" w:rsidP="005F334F">
      <w:pPr>
        <w:pStyle w:val="ListParagraph"/>
        <w:numPr>
          <w:ilvl w:val="0"/>
          <w:numId w:val="2"/>
        </w:numPr>
        <w:spacing w:after="0" w:line="480" w:lineRule="auto"/>
        <w:rPr>
          <w:rFonts w:ascii="Arial" w:hAnsi="Arial" w:cs="Arial"/>
          <w:color w:val="4F81BD" w:themeColor="accent1"/>
          <w:sz w:val="24"/>
          <w:szCs w:val="24"/>
        </w:rPr>
      </w:pPr>
      <w:hyperlink r:id="rId9" w:history="1">
        <w:r w:rsidR="002D368A" w:rsidRPr="009551E2">
          <w:rPr>
            <w:rFonts w:ascii="Arial" w:eastAsia="Times New Roman" w:hAnsi="Arial" w:cs="Arial"/>
            <w:sz w:val="24"/>
            <w:szCs w:val="24"/>
          </w:rPr>
          <w:t>O'Horo JC</w:t>
        </w:r>
      </w:hyperlink>
      <w:r w:rsidR="002D368A" w:rsidRPr="009551E2">
        <w:rPr>
          <w:rFonts w:ascii="Arial" w:eastAsia="Times New Roman" w:hAnsi="Arial" w:cs="Arial"/>
          <w:sz w:val="24"/>
          <w:szCs w:val="24"/>
        </w:rPr>
        <w:t xml:space="preserve">, </w:t>
      </w:r>
      <w:hyperlink r:id="rId10" w:history="1">
        <w:r w:rsidR="002D368A" w:rsidRPr="009551E2">
          <w:rPr>
            <w:rFonts w:ascii="Arial" w:eastAsia="Times New Roman" w:hAnsi="Arial" w:cs="Arial"/>
            <w:sz w:val="24"/>
            <w:szCs w:val="24"/>
          </w:rPr>
          <w:t>Silva GL</w:t>
        </w:r>
      </w:hyperlink>
      <w:r w:rsidR="002D368A" w:rsidRPr="009551E2">
        <w:rPr>
          <w:rFonts w:ascii="Arial" w:eastAsia="Times New Roman" w:hAnsi="Arial" w:cs="Arial"/>
          <w:sz w:val="24"/>
          <w:szCs w:val="24"/>
        </w:rPr>
        <w:t xml:space="preserve">, </w:t>
      </w:r>
      <w:hyperlink r:id="rId11" w:history="1">
        <w:r w:rsidR="002D368A" w:rsidRPr="009551E2">
          <w:rPr>
            <w:rFonts w:ascii="Arial" w:eastAsia="Times New Roman" w:hAnsi="Arial" w:cs="Arial"/>
            <w:sz w:val="24"/>
            <w:szCs w:val="24"/>
          </w:rPr>
          <w:t>Munoz-Price LS</w:t>
        </w:r>
      </w:hyperlink>
      <w:r w:rsidR="002D368A" w:rsidRPr="009551E2">
        <w:rPr>
          <w:rFonts w:ascii="Arial" w:eastAsia="Times New Roman" w:hAnsi="Arial" w:cs="Arial"/>
          <w:sz w:val="24"/>
          <w:szCs w:val="24"/>
        </w:rPr>
        <w:t xml:space="preserve">, </w:t>
      </w:r>
      <w:hyperlink r:id="rId12" w:history="1">
        <w:r w:rsidR="002D368A" w:rsidRPr="009551E2">
          <w:rPr>
            <w:rFonts w:ascii="Arial" w:eastAsia="Times New Roman" w:hAnsi="Arial" w:cs="Arial"/>
            <w:sz w:val="24"/>
            <w:szCs w:val="24"/>
          </w:rPr>
          <w:t>Safdar N</w:t>
        </w:r>
      </w:hyperlink>
      <w:r w:rsidR="002D368A" w:rsidRPr="009551E2">
        <w:rPr>
          <w:rFonts w:ascii="Arial" w:eastAsia="Times New Roman" w:hAnsi="Arial" w:cs="Arial"/>
          <w:sz w:val="24"/>
          <w:szCs w:val="24"/>
        </w:rPr>
        <w:t xml:space="preserve">. </w:t>
      </w:r>
      <w:r w:rsidR="002D368A" w:rsidRPr="009551E2">
        <w:rPr>
          <w:rFonts w:ascii="Arial" w:hAnsi="Arial" w:cs="Arial"/>
          <w:sz w:val="24"/>
          <w:szCs w:val="24"/>
        </w:rPr>
        <w:t xml:space="preserve">The efficacy of daily bathing with </w:t>
      </w:r>
      <w:proofErr w:type="spellStart"/>
      <w:r w:rsidR="002D368A" w:rsidRPr="009551E2">
        <w:rPr>
          <w:rFonts w:ascii="Arial" w:hAnsi="Arial" w:cs="Arial"/>
          <w:sz w:val="24"/>
          <w:szCs w:val="24"/>
        </w:rPr>
        <w:t>chlorhexidine</w:t>
      </w:r>
      <w:proofErr w:type="spellEnd"/>
      <w:r w:rsidR="002D368A" w:rsidRPr="009551E2">
        <w:rPr>
          <w:rFonts w:ascii="Arial" w:hAnsi="Arial" w:cs="Arial"/>
          <w:sz w:val="24"/>
          <w:szCs w:val="24"/>
        </w:rPr>
        <w:t xml:space="preserve"> for reducing healthcare-associated</w:t>
      </w:r>
      <w:r w:rsidR="002D368A" w:rsidRPr="009551E2">
        <w:rPr>
          <w:rFonts w:ascii="Arial" w:eastAsia="Times New Roman" w:hAnsi="Arial" w:cs="Arial"/>
          <w:sz w:val="24"/>
          <w:szCs w:val="24"/>
        </w:rPr>
        <w:t xml:space="preserve"> </w:t>
      </w:r>
      <w:r w:rsidR="002D368A" w:rsidRPr="009551E2">
        <w:rPr>
          <w:rFonts w:ascii="Arial" w:hAnsi="Arial" w:cs="Arial"/>
          <w:sz w:val="24"/>
          <w:szCs w:val="24"/>
        </w:rPr>
        <w:t>bloodstream infections: a meta-analysis.</w:t>
      </w:r>
      <w:r w:rsidR="002D368A" w:rsidRPr="009551E2">
        <w:rPr>
          <w:rFonts w:ascii="Arial" w:hAnsi="Arial" w:cs="Arial"/>
          <w:b/>
          <w:sz w:val="24"/>
          <w:szCs w:val="24"/>
        </w:rPr>
        <w:t xml:space="preserve"> </w:t>
      </w:r>
      <w:r w:rsidR="00663B2D">
        <w:rPr>
          <w:rFonts w:ascii="Arial" w:hAnsi="Arial" w:cs="Arial"/>
          <w:b/>
          <w:sz w:val="24"/>
          <w:szCs w:val="24"/>
        </w:rPr>
        <w:t xml:space="preserve"> </w:t>
      </w:r>
      <w:r w:rsidR="002D368A" w:rsidRPr="009551E2">
        <w:rPr>
          <w:rFonts w:ascii="Arial" w:hAnsi="Arial" w:cs="Arial"/>
          <w:i/>
          <w:sz w:val="24"/>
          <w:szCs w:val="24"/>
        </w:rPr>
        <w:t xml:space="preserve">Infect Control </w:t>
      </w:r>
      <w:proofErr w:type="spellStart"/>
      <w:r w:rsidR="002D368A" w:rsidRPr="009551E2">
        <w:rPr>
          <w:rFonts w:ascii="Arial" w:hAnsi="Arial" w:cs="Arial"/>
          <w:i/>
          <w:sz w:val="24"/>
          <w:szCs w:val="24"/>
        </w:rPr>
        <w:t>Hosp</w:t>
      </w:r>
      <w:proofErr w:type="spellEnd"/>
      <w:r w:rsidR="002D368A" w:rsidRPr="009551E2">
        <w:rPr>
          <w:rFonts w:ascii="Arial" w:hAnsi="Arial" w:cs="Arial"/>
          <w:i/>
          <w:sz w:val="24"/>
          <w:szCs w:val="24"/>
        </w:rPr>
        <w:t xml:space="preserve"> </w:t>
      </w:r>
      <w:proofErr w:type="spellStart"/>
      <w:r w:rsidR="002D368A" w:rsidRPr="009551E2">
        <w:rPr>
          <w:rFonts w:ascii="Arial" w:hAnsi="Arial" w:cs="Arial"/>
          <w:i/>
          <w:sz w:val="24"/>
          <w:szCs w:val="24"/>
        </w:rPr>
        <w:t>Epidemiol</w:t>
      </w:r>
      <w:proofErr w:type="spellEnd"/>
      <w:r w:rsidR="002D368A" w:rsidRPr="009551E2">
        <w:rPr>
          <w:rFonts w:ascii="Arial" w:hAnsi="Arial" w:cs="Arial"/>
          <w:i/>
          <w:sz w:val="24"/>
          <w:szCs w:val="24"/>
        </w:rPr>
        <w:t xml:space="preserve"> </w:t>
      </w:r>
      <w:r w:rsidR="002D368A" w:rsidRPr="009551E2">
        <w:rPr>
          <w:rFonts w:ascii="Arial" w:hAnsi="Arial" w:cs="Arial"/>
          <w:sz w:val="24"/>
          <w:szCs w:val="24"/>
        </w:rPr>
        <w:t>2012</w:t>
      </w:r>
      <w:proofErr w:type="gramStart"/>
      <w:r w:rsidR="002D368A" w:rsidRPr="009551E2">
        <w:rPr>
          <w:rFonts w:ascii="Arial" w:hAnsi="Arial" w:cs="Arial"/>
          <w:sz w:val="24"/>
          <w:szCs w:val="24"/>
        </w:rPr>
        <w:t>;</w:t>
      </w:r>
      <w:r w:rsidR="002D368A" w:rsidRPr="005F334F">
        <w:rPr>
          <w:rFonts w:ascii="Arial" w:hAnsi="Arial" w:cs="Arial"/>
          <w:b/>
          <w:sz w:val="24"/>
          <w:szCs w:val="24"/>
        </w:rPr>
        <w:t>33</w:t>
      </w:r>
      <w:r w:rsidR="002D368A" w:rsidRPr="009551E2">
        <w:rPr>
          <w:rFonts w:ascii="Arial" w:hAnsi="Arial" w:cs="Arial"/>
          <w:sz w:val="24"/>
          <w:szCs w:val="24"/>
        </w:rPr>
        <w:t>:257</w:t>
      </w:r>
      <w:proofErr w:type="gramEnd"/>
      <w:r w:rsidR="002D368A" w:rsidRPr="009551E2">
        <w:rPr>
          <w:rFonts w:ascii="Arial" w:hAnsi="Arial" w:cs="Arial"/>
          <w:sz w:val="24"/>
          <w:szCs w:val="24"/>
        </w:rPr>
        <w:t>-267.</w:t>
      </w:r>
      <w:r w:rsidR="00AA5974">
        <w:rPr>
          <w:rFonts w:ascii="Arial" w:hAnsi="Arial" w:cs="Arial"/>
          <w:sz w:val="24"/>
          <w:szCs w:val="24"/>
        </w:rPr>
        <w:t xml:space="preserve"> </w:t>
      </w:r>
      <w:hyperlink r:id="rId13" w:history="1">
        <w:r w:rsidR="00F776B6" w:rsidRPr="00F24717">
          <w:rPr>
            <w:rStyle w:val="Hyperlink"/>
            <w:rFonts w:ascii="Arial" w:hAnsi="Arial" w:cs="Arial"/>
            <w:sz w:val="24"/>
            <w:szCs w:val="24"/>
          </w:rPr>
          <w:t>http://www.ncbi.nlm.nih.gov/pubmed/22314063</w:t>
        </w:r>
      </w:hyperlink>
      <w:r w:rsidR="00F776B6">
        <w:rPr>
          <w:rFonts w:ascii="Arial" w:hAnsi="Arial" w:cs="Arial"/>
          <w:color w:val="4F81BD" w:themeColor="accent1"/>
          <w:sz w:val="24"/>
          <w:szCs w:val="24"/>
        </w:rPr>
        <w:t xml:space="preserve"> </w:t>
      </w:r>
    </w:p>
    <w:p w:rsidR="002D368A" w:rsidRPr="009551E2" w:rsidRDefault="002D368A" w:rsidP="005F334F">
      <w:pPr>
        <w:numPr>
          <w:ilvl w:val="0"/>
          <w:numId w:val="2"/>
        </w:numPr>
        <w:shd w:val="clear" w:color="auto" w:fill="FFFFFF"/>
        <w:spacing w:line="480" w:lineRule="auto"/>
        <w:rPr>
          <w:rFonts w:ascii="Arial" w:hAnsi="Arial" w:cs="Arial"/>
          <w:sz w:val="24"/>
          <w:szCs w:val="24"/>
        </w:rPr>
      </w:pPr>
      <w:proofErr w:type="spellStart"/>
      <w:r w:rsidRPr="009551E2">
        <w:rPr>
          <w:rFonts w:ascii="Arial" w:hAnsi="Arial" w:cs="Arial"/>
          <w:sz w:val="24"/>
          <w:szCs w:val="24"/>
        </w:rPr>
        <w:t>Climo</w:t>
      </w:r>
      <w:proofErr w:type="spellEnd"/>
      <w:r w:rsidRPr="009551E2">
        <w:rPr>
          <w:rFonts w:ascii="Arial" w:hAnsi="Arial" w:cs="Arial"/>
          <w:sz w:val="24"/>
          <w:szCs w:val="24"/>
        </w:rPr>
        <w:t xml:space="preserve"> MW, </w:t>
      </w:r>
      <w:proofErr w:type="spellStart"/>
      <w:r w:rsidRPr="009551E2">
        <w:rPr>
          <w:rFonts w:ascii="Arial" w:hAnsi="Arial" w:cs="Arial"/>
          <w:sz w:val="24"/>
          <w:szCs w:val="24"/>
        </w:rPr>
        <w:t>Yokoe</w:t>
      </w:r>
      <w:proofErr w:type="spellEnd"/>
      <w:r w:rsidRPr="009551E2">
        <w:rPr>
          <w:rFonts w:ascii="Arial" w:hAnsi="Arial" w:cs="Arial"/>
          <w:sz w:val="24"/>
          <w:szCs w:val="24"/>
        </w:rPr>
        <w:t xml:space="preserve"> DS, Warren DK, et al. </w:t>
      </w:r>
      <w:r w:rsidRPr="009551E2">
        <w:rPr>
          <w:rFonts w:ascii="Arial" w:hAnsi="Arial" w:cs="Arial"/>
          <w:bCs/>
          <w:kern w:val="36"/>
          <w:sz w:val="24"/>
          <w:szCs w:val="24"/>
        </w:rPr>
        <w:t xml:space="preserve">Effect of daily </w:t>
      </w:r>
      <w:proofErr w:type="spellStart"/>
      <w:r w:rsidRPr="009551E2">
        <w:rPr>
          <w:rFonts w:ascii="Arial" w:hAnsi="Arial" w:cs="Arial"/>
          <w:bCs/>
          <w:kern w:val="36"/>
          <w:sz w:val="24"/>
          <w:szCs w:val="24"/>
        </w:rPr>
        <w:t>chlorhexidine</w:t>
      </w:r>
      <w:proofErr w:type="spellEnd"/>
      <w:r w:rsidRPr="009551E2">
        <w:rPr>
          <w:rFonts w:ascii="Arial" w:hAnsi="Arial" w:cs="Arial"/>
          <w:bCs/>
          <w:kern w:val="36"/>
          <w:sz w:val="24"/>
          <w:szCs w:val="24"/>
        </w:rPr>
        <w:t xml:space="preserve"> bathing on hospital-acquired infection. </w:t>
      </w:r>
      <w:r w:rsidR="00A13566">
        <w:rPr>
          <w:rFonts w:ascii="Arial" w:hAnsi="Arial" w:cs="Arial"/>
          <w:bCs/>
          <w:kern w:val="36"/>
          <w:sz w:val="24"/>
          <w:szCs w:val="24"/>
        </w:rPr>
        <w:t xml:space="preserve"> </w:t>
      </w:r>
      <w:r w:rsidR="00AA5974" w:rsidRPr="009551E2">
        <w:rPr>
          <w:rFonts w:ascii="Arial" w:hAnsi="Arial" w:cs="Arial"/>
          <w:i/>
          <w:sz w:val="24"/>
          <w:szCs w:val="24"/>
        </w:rPr>
        <w:t xml:space="preserve">N </w:t>
      </w:r>
      <w:proofErr w:type="spellStart"/>
      <w:r w:rsidR="00AA5974" w:rsidRPr="009551E2">
        <w:rPr>
          <w:rFonts w:ascii="Arial" w:hAnsi="Arial" w:cs="Arial"/>
          <w:i/>
          <w:sz w:val="24"/>
          <w:szCs w:val="24"/>
        </w:rPr>
        <w:t>Engl</w:t>
      </w:r>
      <w:proofErr w:type="spellEnd"/>
      <w:r w:rsidR="00AA5974" w:rsidRPr="009551E2">
        <w:rPr>
          <w:rFonts w:ascii="Arial" w:hAnsi="Arial" w:cs="Arial"/>
          <w:i/>
          <w:sz w:val="24"/>
          <w:szCs w:val="24"/>
        </w:rPr>
        <w:t xml:space="preserve"> J Med</w:t>
      </w:r>
      <w:r w:rsidR="00AA5974" w:rsidRPr="009551E2">
        <w:rPr>
          <w:rFonts w:ascii="Arial" w:hAnsi="Arial" w:cs="Arial"/>
          <w:sz w:val="24"/>
          <w:szCs w:val="24"/>
        </w:rPr>
        <w:t xml:space="preserve"> 2013</w:t>
      </w:r>
      <w:proofErr w:type="gramStart"/>
      <w:r w:rsidR="00AA5974" w:rsidRPr="009551E2">
        <w:rPr>
          <w:rFonts w:ascii="Arial" w:hAnsi="Arial" w:cs="Arial"/>
          <w:sz w:val="24"/>
          <w:szCs w:val="24"/>
        </w:rPr>
        <w:t>;</w:t>
      </w:r>
      <w:r w:rsidR="00AA5974" w:rsidRPr="006F363D">
        <w:rPr>
          <w:rFonts w:ascii="Arial" w:hAnsi="Arial" w:cs="Arial"/>
          <w:b/>
          <w:sz w:val="24"/>
          <w:szCs w:val="24"/>
        </w:rPr>
        <w:t>368</w:t>
      </w:r>
      <w:r w:rsidR="00AA5974" w:rsidRPr="009551E2">
        <w:rPr>
          <w:rFonts w:ascii="Arial" w:hAnsi="Arial" w:cs="Arial"/>
          <w:sz w:val="24"/>
          <w:szCs w:val="24"/>
        </w:rPr>
        <w:t>:533</w:t>
      </w:r>
      <w:proofErr w:type="gramEnd"/>
      <w:r w:rsidR="00AA5974" w:rsidRPr="009551E2">
        <w:rPr>
          <w:rFonts w:ascii="Arial" w:hAnsi="Arial" w:cs="Arial"/>
          <w:sz w:val="24"/>
          <w:szCs w:val="24"/>
        </w:rPr>
        <w:t>-542.</w:t>
      </w:r>
      <w:r w:rsidR="00AA5974">
        <w:rPr>
          <w:rFonts w:ascii="Arial" w:hAnsi="Arial" w:cs="Arial"/>
          <w:sz w:val="24"/>
          <w:szCs w:val="24"/>
        </w:rPr>
        <w:t xml:space="preserve"> </w:t>
      </w:r>
      <w:hyperlink r:id="rId14" w:history="1">
        <w:r w:rsidR="00F776B6" w:rsidRPr="00F24717">
          <w:rPr>
            <w:rStyle w:val="Hyperlink"/>
            <w:rFonts w:ascii="Arial" w:hAnsi="Arial" w:cs="Arial"/>
            <w:bCs/>
            <w:kern w:val="36"/>
            <w:sz w:val="24"/>
            <w:szCs w:val="24"/>
          </w:rPr>
          <w:t>http://www.nejm.org/doi/full/10.1056/NEJMoa1113849</w:t>
        </w:r>
      </w:hyperlink>
      <w:r w:rsidR="00F776B6">
        <w:rPr>
          <w:rFonts w:ascii="Arial" w:hAnsi="Arial" w:cs="Arial"/>
          <w:bCs/>
          <w:color w:val="4F81BD" w:themeColor="accent1"/>
          <w:kern w:val="36"/>
          <w:sz w:val="24"/>
          <w:szCs w:val="24"/>
        </w:rPr>
        <w:t xml:space="preserve"> </w:t>
      </w:r>
    </w:p>
    <w:p w:rsidR="00AA5974" w:rsidRPr="00F776B6" w:rsidRDefault="002D368A" w:rsidP="00AA5974">
      <w:pPr>
        <w:numPr>
          <w:ilvl w:val="0"/>
          <w:numId w:val="2"/>
        </w:numPr>
        <w:shd w:val="clear" w:color="auto" w:fill="FFFFFF"/>
        <w:spacing w:after="0" w:line="480" w:lineRule="auto"/>
        <w:rPr>
          <w:rStyle w:val="Hyperlink"/>
          <w:bCs/>
          <w:kern w:val="36"/>
        </w:rPr>
      </w:pPr>
      <w:r w:rsidRPr="00AA5974">
        <w:rPr>
          <w:rFonts w:ascii="Arial" w:hAnsi="Arial" w:cs="Arial"/>
          <w:sz w:val="24"/>
          <w:szCs w:val="24"/>
        </w:rPr>
        <w:t xml:space="preserve"> </w:t>
      </w:r>
      <w:hyperlink r:id="rId15" w:history="1">
        <w:r w:rsidRPr="00AA5974">
          <w:rPr>
            <w:rFonts w:ascii="Arial" w:eastAsia="Times New Roman" w:hAnsi="Arial" w:cs="Arial"/>
            <w:sz w:val="24"/>
            <w:szCs w:val="24"/>
          </w:rPr>
          <w:t>Climo MW</w:t>
        </w:r>
      </w:hyperlink>
      <w:r w:rsidRPr="00AA5974">
        <w:rPr>
          <w:rFonts w:ascii="Arial" w:eastAsia="Times New Roman" w:hAnsi="Arial" w:cs="Arial"/>
          <w:sz w:val="24"/>
          <w:szCs w:val="24"/>
        </w:rPr>
        <w:t xml:space="preserve">, </w:t>
      </w:r>
      <w:hyperlink r:id="rId16" w:history="1">
        <w:r w:rsidRPr="00AA5974">
          <w:rPr>
            <w:rFonts w:ascii="Arial" w:eastAsia="Times New Roman" w:hAnsi="Arial" w:cs="Arial"/>
            <w:sz w:val="24"/>
            <w:szCs w:val="24"/>
          </w:rPr>
          <w:t>Sepkowitz KA</w:t>
        </w:r>
      </w:hyperlink>
      <w:r w:rsidRPr="00AA5974">
        <w:rPr>
          <w:rFonts w:ascii="Arial" w:eastAsia="Times New Roman" w:hAnsi="Arial" w:cs="Arial"/>
          <w:sz w:val="24"/>
          <w:szCs w:val="24"/>
        </w:rPr>
        <w:t xml:space="preserve">, </w:t>
      </w:r>
      <w:hyperlink r:id="rId17" w:history="1">
        <w:r w:rsidRPr="00AA5974">
          <w:rPr>
            <w:rFonts w:ascii="Arial" w:eastAsia="Times New Roman" w:hAnsi="Arial" w:cs="Arial"/>
            <w:sz w:val="24"/>
            <w:szCs w:val="24"/>
          </w:rPr>
          <w:t>Zuccotti G</w:t>
        </w:r>
      </w:hyperlink>
      <w:r w:rsidRPr="00AA5974">
        <w:rPr>
          <w:rFonts w:ascii="Arial" w:eastAsia="Times New Roman" w:hAnsi="Arial" w:cs="Arial"/>
          <w:sz w:val="24"/>
          <w:szCs w:val="24"/>
        </w:rPr>
        <w:t xml:space="preserve">, et al. </w:t>
      </w:r>
      <w:r w:rsidRPr="00AA5974">
        <w:rPr>
          <w:rFonts w:ascii="Arial" w:hAnsi="Arial" w:cs="Arial"/>
          <w:sz w:val="24"/>
          <w:szCs w:val="24"/>
        </w:rPr>
        <w:t xml:space="preserve">The effect of daily bathing with </w:t>
      </w:r>
      <w:proofErr w:type="spellStart"/>
      <w:r w:rsidRPr="00AA5974">
        <w:rPr>
          <w:rFonts w:ascii="Arial" w:hAnsi="Arial" w:cs="Arial"/>
          <w:sz w:val="24"/>
          <w:szCs w:val="24"/>
        </w:rPr>
        <w:t>chlorhexidine</w:t>
      </w:r>
      <w:proofErr w:type="spellEnd"/>
      <w:r w:rsidRPr="00AA5974">
        <w:rPr>
          <w:rFonts w:ascii="Arial" w:hAnsi="Arial" w:cs="Arial"/>
          <w:sz w:val="24"/>
          <w:szCs w:val="24"/>
        </w:rPr>
        <w:t xml:space="preserve"> on the acquisition of methicillin-resistant </w:t>
      </w:r>
      <w:r w:rsidRPr="005F334F">
        <w:rPr>
          <w:rFonts w:ascii="Arial" w:hAnsi="Arial" w:cs="Arial"/>
          <w:i/>
          <w:sz w:val="24"/>
          <w:szCs w:val="24"/>
        </w:rPr>
        <w:t xml:space="preserve">Staphylococcus </w:t>
      </w:r>
      <w:proofErr w:type="spellStart"/>
      <w:r w:rsidRPr="005F334F">
        <w:rPr>
          <w:rFonts w:ascii="Arial" w:hAnsi="Arial" w:cs="Arial"/>
          <w:i/>
          <w:sz w:val="24"/>
          <w:szCs w:val="24"/>
        </w:rPr>
        <w:t>aureus</w:t>
      </w:r>
      <w:proofErr w:type="spellEnd"/>
      <w:r w:rsidRPr="00AA5974">
        <w:rPr>
          <w:rFonts w:ascii="Arial" w:hAnsi="Arial" w:cs="Arial"/>
          <w:sz w:val="24"/>
          <w:szCs w:val="24"/>
        </w:rPr>
        <w:t xml:space="preserve">, </w:t>
      </w:r>
      <w:proofErr w:type="spellStart"/>
      <w:r w:rsidRPr="00AA5974">
        <w:rPr>
          <w:rFonts w:ascii="Arial" w:hAnsi="Arial" w:cs="Arial"/>
          <w:sz w:val="24"/>
          <w:szCs w:val="24"/>
        </w:rPr>
        <w:lastRenderedPageBreak/>
        <w:t>vancomycin</w:t>
      </w:r>
      <w:proofErr w:type="spellEnd"/>
      <w:r w:rsidRPr="00AA5974">
        <w:rPr>
          <w:rFonts w:ascii="Arial" w:hAnsi="Arial" w:cs="Arial"/>
          <w:sz w:val="24"/>
          <w:szCs w:val="24"/>
        </w:rPr>
        <w:t xml:space="preserve">-resistant </w:t>
      </w:r>
      <w:r w:rsidRPr="005F334F">
        <w:rPr>
          <w:rFonts w:ascii="Arial" w:hAnsi="Arial" w:cs="Arial"/>
          <w:i/>
          <w:sz w:val="24"/>
          <w:szCs w:val="24"/>
        </w:rPr>
        <w:t>Enterococcus</w:t>
      </w:r>
      <w:r w:rsidRPr="00AA5974">
        <w:rPr>
          <w:rFonts w:ascii="Arial" w:hAnsi="Arial" w:cs="Arial"/>
          <w:sz w:val="24"/>
          <w:szCs w:val="24"/>
        </w:rPr>
        <w:t xml:space="preserve">, and healthcare-associated bloodstream infections: results of a quasi-experimental multicenter trial. </w:t>
      </w:r>
      <w:r w:rsidR="001D3065" w:rsidRPr="00AA5974">
        <w:rPr>
          <w:rFonts w:ascii="Arial" w:hAnsi="Arial" w:cs="Arial"/>
          <w:sz w:val="24"/>
          <w:szCs w:val="24"/>
        </w:rPr>
        <w:t xml:space="preserve"> </w:t>
      </w:r>
      <w:hyperlink r:id="rId18" w:tooltip="Critical care medicine." w:history="1">
        <w:r w:rsidR="00AA5974" w:rsidRPr="009551E2">
          <w:rPr>
            <w:rFonts w:ascii="Arial" w:hAnsi="Arial" w:cs="Arial"/>
            <w:i/>
            <w:sz w:val="24"/>
            <w:szCs w:val="24"/>
          </w:rPr>
          <w:t>Crit Care Med</w:t>
        </w:r>
      </w:hyperlink>
      <w:r w:rsidR="00AA5974" w:rsidRPr="009551E2">
        <w:rPr>
          <w:rFonts w:ascii="Arial" w:hAnsi="Arial" w:cs="Arial"/>
          <w:sz w:val="24"/>
          <w:szCs w:val="24"/>
        </w:rPr>
        <w:t xml:space="preserve"> 2009</w:t>
      </w:r>
      <w:proofErr w:type="gramStart"/>
      <w:r w:rsidR="00AA5974" w:rsidRPr="009551E2">
        <w:rPr>
          <w:rFonts w:ascii="Arial" w:hAnsi="Arial" w:cs="Arial"/>
          <w:sz w:val="24"/>
          <w:szCs w:val="24"/>
        </w:rPr>
        <w:t>;</w:t>
      </w:r>
      <w:r w:rsidR="00AA5974" w:rsidRPr="006F363D">
        <w:rPr>
          <w:rFonts w:ascii="Arial" w:hAnsi="Arial" w:cs="Arial"/>
          <w:b/>
          <w:sz w:val="24"/>
          <w:szCs w:val="24"/>
        </w:rPr>
        <w:t>37</w:t>
      </w:r>
      <w:proofErr w:type="gramEnd"/>
      <w:r w:rsidR="00AA5974" w:rsidRPr="006F363D">
        <w:rPr>
          <w:rFonts w:ascii="Arial" w:hAnsi="Arial" w:cs="Arial"/>
          <w:b/>
          <w:sz w:val="24"/>
          <w:szCs w:val="24"/>
        </w:rPr>
        <w:t>(6)</w:t>
      </w:r>
      <w:r w:rsidR="00AA5974" w:rsidRPr="009551E2">
        <w:rPr>
          <w:rFonts w:ascii="Arial" w:hAnsi="Arial" w:cs="Arial"/>
          <w:sz w:val="24"/>
          <w:szCs w:val="24"/>
        </w:rPr>
        <w:t>:1858-65</w:t>
      </w:r>
      <w:r w:rsidR="00AA5974" w:rsidRPr="005F334F">
        <w:rPr>
          <w:rFonts w:ascii="Arial" w:hAnsi="Arial" w:cs="Arial"/>
          <w:color w:val="4F81BD" w:themeColor="accent1"/>
          <w:sz w:val="24"/>
          <w:szCs w:val="24"/>
        </w:rPr>
        <w:t xml:space="preserve">.  </w:t>
      </w:r>
      <w:hyperlink r:id="rId19" w:history="1">
        <w:r w:rsidR="00AA5974" w:rsidRPr="00F776B6">
          <w:rPr>
            <w:rStyle w:val="Hyperlink"/>
            <w:rFonts w:ascii="Arial" w:hAnsi="Arial" w:cs="Arial"/>
            <w:bCs/>
            <w:kern w:val="36"/>
            <w:sz w:val="24"/>
            <w:szCs w:val="24"/>
          </w:rPr>
          <w:t>http://www.ncbi.nlm.nih.gov/pubmed/19384220</w:t>
        </w:r>
      </w:hyperlink>
    </w:p>
    <w:p w:rsidR="002D368A" w:rsidRPr="00AA5974" w:rsidRDefault="002D368A">
      <w:pPr>
        <w:numPr>
          <w:ilvl w:val="0"/>
          <w:numId w:val="2"/>
        </w:numPr>
        <w:shd w:val="clear" w:color="auto" w:fill="FFFFFF"/>
        <w:spacing w:after="0" w:line="480" w:lineRule="auto"/>
        <w:rPr>
          <w:rFonts w:ascii="Arial" w:hAnsi="Arial" w:cs="Arial"/>
          <w:sz w:val="24"/>
          <w:szCs w:val="24"/>
        </w:rPr>
      </w:pPr>
      <w:r w:rsidRPr="00AA5974">
        <w:rPr>
          <w:rFonts w:ascii="Arial" w:eastAsia="Times New Roman" w:hAnsi="Arial" w:cs="Arial"/>
          <w:sz w:val="24"/>
          <w:szCs w:val="24"/>
        </w:rPr>
        <w:t xml:space="preserve">Rupp ME, </w:t>
      </w:r>
      <w:proofErr w:type="spellStart"/>
      <w:r w:rsidRPr="00AA5974">
        <w:rPr>
          <w:rFonts w:ascii="Arial" w:eastAsia="Times New Roman" w:hAnsi="Arial" w:cs="Arial"/>
          <w:sz w:val="24"/>
          <w:szCs w:val="24"/>
        </w:rPr>
        <w:t>Cavalieri</w:t>
      </w:r>
      <w:proofErr w:type="spellEnd"/>
      <w:r w:rsidRPr="00AA5974">
        <w:rPr>
          <w:rFonts w:ascii="Arial" w:eastAsia="Times New Roman" w:hAnsi="Arial" w:cs="Arial"/>
          <w:sz w:val="24"/>
          <w:szCs w:val="24"/>
        </w:rPr>
        <w:t xml:space="preserve"> RJ, </w:t>
      </w:r>
      <w:proofErr w:type="spellStart"/>
      <w:r w:rsidRPr="00AA5974">
        <w:rPr>
          <w:rFonts w:ascii="Arial" w:eastAsia="Times New Roman" w:hAnsi="Arial" w:cs="Arial"/>
          <w:sz w:val="24"/>
          <w:szCs w:val="24"/>
        </w:rPr>
        <w:t>Lyden</w:t>
      </w:r>
      <w:proofErr w:type="spellEnd"/>
      <w:r w:rsidRPr="00AA5974">
        <w:rPr>
          <w:rFonts w:ascii="Arial" w:eastAsia="Times New Roman" w:hAnsi="Arial" w:cs="Arial"/>
          <w:sz w:val="24"/>
          <w:szCs w:val="24"/>
        </w:rPr>
        <w:t xml:space="preserve"> E, et al. E</w:t>
      </w:r>
      <w:r w:rsidRPr="00AA5974">
        <w:rPr>
          <w:rFonts w:ascii="Arial" w:hAnsi="Arial" w:cs="Arial"/>
          <w:sz w:val="24"/>
          <w:szCs w:val="24"/>
        </w:rPr>
        <w:t xml:space="preserve">ffect of hospital-wide </w:t>
      </w:r>
      <w:proofErr w:type="spellStart"/>
      <w:r w:rsidRPr="00AA5974">
        <w:rPr>
          <w:rFonts w:ascii="Arial" w:hAnsi="Arial" w:cs="Arial"/>
          <w:sz w:val="24"/>
          <w:szCs w:val="24"/>
        </w:rPr>
        <w:t>chlorhexidine</w:t>
      </w:r>
      <w:proofErr w:type="spellEnd"/>
      <w:r w:rsidRPr="00AA5974">
        <w:rPr>
          <w:rFonts w:ascii="Arial" w:hAnsi="Arial" w:cs="Arial"/>
          <w:sz w:val="24"/>
          <w:szCs w:val="24"/>
        </w:rPr>
        <w:t xml:space="preserve"> patient bathing on healthcare-associated infections. </w:t>
      </w:r>
      <w:r w:rsidR="00DA6EAC" w:rsidRPr="00AA5974">
        <w:rPr>
          <w:rFonts w:ascii="Arial" w:hAnsi="Arial" w:cs="Arial"/>
          <w:sz w:val="24"/>
          <w:szCs w:val="24"/>
        </w:rPr>
        <w:t xml:space="preserve"> </w:t>
      </w:r>
      <w:r w:rsidR="00AA5974" w:rsidRPr="006F363D">
        <w:rPr>
          <w:rFonts w:ascii="Arial" w:hAnsi="Arial" w:cs="Arial"/>
          <w:i/>
          <w:iCs/>
          <w:sz w:val="24"/>
          <w:szCs w:val="24"/>
        </w:rPr>
        <w:t xml:space="preserve">Infect Control </w:t>
      </w:r>
      <w:proofErr w:type="spellStart"/>
      <w:r w:rsidR="00AA5974" w:rsidRPr="006F363D">
        <w:rPr>
          <w:rFonts w:ascii="Arial" w:hAnsi="Arial" w:cs="Arial"/>
          <w:i/>
          <w:iCs/>
          <w:sz w:val="24"/>
          <w:szCs w:val="24"/>
        </w:rPr>
        <w:t>Hosp</w:t>
      </w:r>
      <w:proofErr w:type="spellEnd"/>
      <w:r w:rsidR="00AA5974" w:rsidRPr="006F363D">
        <w:rPr>
          <w:rFonts w:ascii="Arial" w:hAnsi="Arial" w:cs="Arial"/>
          <w:i/>
          <w:iCs/>
          <w:sz w:val="24"/>
          <w:szCs w:val="24"/>
        </w:rPr>
        <w:t xml:space="preserve"> </w:t>
      </w:r>
      <w:proofErr w:type="spellStart"/>
      <w:r w:rsidR="00AA5974" w:rsidRPr="006F363D">
        <w:rPr>
          <w:rFonts w:ascii="Arial" w:hAnsi="Arial" w:cs="Arial"/>
          <w:i/>
          <w:iCs/>
          <w:sz w:val="24"/>
          <w:szCs w:val="24"/>
        </w:rPr>
        <w:t>Epidemiol</w:t>
      </w:r>
      <w:proofErr w:type="spellEnd"/>
      <w:r w:rsidR="00AA5974" w:rsidRPr="006F363D">
        <w:rPr>
          <w:rFonts w:ascii="Arial" w:hAnsi="Arial" w:cs="Arial"/>
          <w:iCs/>
          <w:sz w:val="24"/>
          <w:szCs w:val="24"/>
        </w:rPr>
        <w:t xml:space="preserve"> 2012</w:t>
      </w:r>
      <w:proofErr w:type="gramStart"/>
      <w:r w:rsidR="00AA5974" w:rsidRPr="006F363D">
        <w:rPr>
          <w:rFonts w:ascii="Arial" w:hAnsi="Arial" w:cs="Arial"/>
          <w:iCs/>
          <w:sz w:val="24"/>
          <w:szCs w:val="24"/>
        </w:rPr>
        <w:t>;</w:t>
      </w:r>
      <w:r w:rsidR="00AA5974" w:rsidRPr="006F363D">
        <w:rPr>
          <w:rFonts w:ascii="Arial" w:hAnsi="Arial" w:cs="Arial"/>
          <w:b/>
          <w:sz w:val="24"/>
          <w:szCs w:val="24"/>
        </w:rPr>
        <w:t>33</w:t>
      </w:r>
      <w:r w:rsidR="00AA5974" w:rsidRPr="006F363D">
        <w:rPr>
          <w:rFonts w:ascii="Arial" w:hAnsi="Arial" w:cs="Arial"/>
          <w:sz w:val="24"/>
          <w:szCs w:val="24"/>
        </w:rPr>
        <w:t>:1094</w:t>
      </w:r>
      <w:proofErr w:type="gramEnd"/>
      <w:r w:rsidR="00AA5974" w:rsidRPr="006F363D">
        <w:rPr>
          <w:rFonts w:ascii="Arial" w:hAnsi="Arial" w:cs="Arial"/>
          <w:sz w:val="24"/>
          <w:szCs w:val="24"/>
        </w:rPr>
        <w:t>-1100.</w:t>
      </w:r>
      <w:r w:rsidR="00AA5974" w:rsidRPr="00AA5974">
        <w:rPr>
          <w:rFonts w:ascii="Arial" w:hAnsi="Arial" w:cs="Arial"/>
          <w:i/>
          <w:iCs/>
          <w:sz w:val="24"/>
          <w:szCs w:val="24"/>
        </w:rPr>
        <w:t xml:space="preserve"> </w:t>
      </w:r>
      <w:r w:rsidR="00AA5974" w:rsidRPr="006F363D">
        <w:rPr>
          <w:rFonts w:ascii="Arial" w:hAnsi="Arial" w:cs="Arial"/>
          <w:i/>
          <w:iCs/>
          <w:sz w:val="24"/>
          <w:szCs w:val="24"/>
        </w:rPr>
        <w:t xml:space="preserve">Infect Control </w:t>
      </w:r>
      <w:proofErr w:type="spellStart"/>
      <w:r w:rsidR="00AA5974" w:rsidRPr="006F363D">
        <w:rPr>
          <w:rFonts w:ascii="Arial" w:hAnsi="Arial" w:cs="Arial"/>
          <w:i/>
          <w:iCs/>
          <w:sz w:val="24"/>
          <w:szCs w:val="24"/>
        </w:rPr>
        <w:t>Hosp</w:t>
      </w:r>
      <w:proofErr w:type="spellEnd"/>
      <w:r w:rsidR="00AA5974" w:rsidRPr="006F363D">
        <w:rPr>
          <w:rFonts w:ascii="Arial" w:hAnsi="Arial" w:cs="Arial"/>
          <w:i/>
          <w:iCs/>
          <w:sz w:val="24"/>
          <w:szCs w:val="24"/>
        </w:rPr>
        <w:t xml:space="preserve"> </w:t>
      </w:r>
      <w:proofErr w:type="spellStart"/>
      <w:r w:rsidR="00AA5974" w:rsidRPr="006F363D">
        <w:rPr>
          <w:rFonts w:ascii="Arial" w:hAnsi="Arial" w:cs="Arial"/>
          <w:i/>
          <w:iCs/>
          <w:sz w:val="24"/>
          <w:szCs w:val="24"/>
        </w:rPr>
        <w:t>Epidemiol</w:t>
      </w:r>
      <w:proofErr w:type="spellEnd"/>
      <w:r w:rsidR="00AA5974" w:rsidRPr="006F363D">
        <w:rPr>
          <w:rFonts w:ascii="Arial" w:hAnsi="Arial" w:cs="Arial"/>
          <w:iCs/>
          <w:sz w:val="24"/>
          <w:szCs w:val="24"/>
        </w:rPr>
        <w:t xml:space="preserve"> 2012</w:t>
      </w:r>
      <w:proofErr w:type="gramStart"/>
      <w:r w:rsidR="00AA5974" w:rsidRPr="006F363D">
        <w:rPr>
          <w:rFonts w:ascii="Arial" w:hAnsi="Arial" w:cs="Arial"/>
          <w:iCs/>
          <w:sz w:val="24"/>
          <w:szCs w:val="24"/>
        </w:rPr>
        <w:t>;</w:t>
      </w:r>
      <w:r w:rsidR="00AA5974" w:rsidRPr="006F363D">
        <w:rPr>
          <w:rFonts w:ascii="Arial" w:hAnsi="Arial" w:cs="Arial"/>
          <w:b/>
          <w:sz w:val="24"/>
          <w:szCs w:val="24"/>
        </w:rPr>
        <w:t>33</w:t>
      </w:r>
      <w:r w:rsidR="00AA5974" w:rsidRPr="006F363D">
        <w:rPr>
          <w:rFonts w:ascii="Arial" w:hAnsi="Arial" w:cs="Arial"/>
          <w:sz w:val="24"/>
          <w:szCs w:val="24"/>
        </w:rPr>
        <w:t>:1094</w:t>
      </w:r>
      <w:proofErr w:type="gramEnd"/>
      <w:r w:rsidR="00AA5974" w:rsidRPr="006F363D">
        <w:rPr>
          <w:rFonts w:ascii="Arial" w:hAnsi="Arial" w:cs="Arial"/>
          <w:sz w:val="24"/>
          <w:szCs w:val="24"/>
        </w:rPr>
        <w:t>-1100.</w:t>
      </w:r>
      <w:r w:rsidR="00AA5974">
        <w:rPr>
          <w:rFonts w:ascii="Arial" w:hAnsi="Arial" w:cs="Arial"/>
          <w:sz w:val="24"/>
          <w:szCs w:val="24"/>
        </w:rPr>
        <w:t xml:space="preserve"> </w:t>
      </w:r>
      <w:hyperlink r:id="rId20" w:history="1">
        <w:r w:rsidR="004E05B2" w:rsidRPr="00F776B6">
          <w:rPr>
            <w:rStyle w:val="Hyperlink"/>
            <w:rFonts w:ascii="Arial" w:hAnsi="Arial" w:cs="Arial"/>
            <w:bCs/>
            <w:kern w:val="36"/>
            <w:sz w:val="24"/>
            <w:szCs w:val="24"/>
          </w:rPr>
          <w:t>http://www.ncbi.nlm.nih.gov/pubmed/23041806</w:t>
        </w:r>
      </w:hyperlink>
      <w:r w:rsidR="004E05B2" w:rsidRPr="00F776B6">
        <w:rPr>
          <w:rStyle w:val="Hyperlink"/>
          <w:bCs/>
          <w:kern w:val="36"/>
        </w:rPr>
        <w:t xml:space="preserve">  </w:t>
      </w:r>
      <w:r w:rsidR="004E05B2" w:rsidRPr="00AA5974">
        <w:rPr>
          <w:rFonts w:ascii="Arial" w:hAnsi="Arial" w:cs="Arial"/>
          <w:sz w:val="24"/>
          <w:szCs w:val="24"/>
        </w:rPr>
        <w:t xml:space="preserve">       </w:t>
      </w:r>
      <w:r w:rsidR="00DA6EAC" w:rsidRPr="00AA5974">
        <w:rPr>
          <w:rFonts w:ascii="Arial" w:hAnsi="Arial" w:cs="Arial"/>
          <w:sz w:val="24"/>
          <w:szCs w:val="24"/>
        </w:rPr>
        <w:t xml:space="preserve">                                      </w:t>
      </w:r>
    </w:p>
    <w:p w:rsidR="002D368A" w:rsidRPr="009551E2" w:rsidRDefault="002D368A" w:rsidP="004E05B2">
      <w:pPr>
        <w:numPr>
          <w:ilvl w:val="0"/>
          <w:numId w:val="2"/>
        </w:numPr>
        <w:shd w:val="clear" w:color="auto" w:fill="FFFFFF"/>
        <w:spacing w:after="0" w:line="480" w:lineRule="auto"/>
        <w:rPr>
          <w:rFonts w:ascii="Arial" w:hAnsi="Arial" w:cs="Arial"/>
          <w:sz w:val="24"/>
          <w:szCs w:val="24"/>
        </w:rPr>
      </w:pPr>
      <w:proofErr w:type="spellStart"/>
      <w:r w:rsidRPr="009551E2">
        <w:rPr>
          <w:rFonts w:ascii="Arial" w:hAnsi="Arial" w:cs="Arial"/>
          <w:sz w:val="24"/>
          <w:szCs w:val="24"/>
        </w:rPr>
        <w:t>Kassakian</w:t>
      </w:r>
      <w:proofErr w:type="spellEnd"/>
      <w:r w:rsidRPr="009551E2">
        <w:rPr>
          <w:rFonts w:ascii="Arial" w:hAnsi="Arial" w:cs="Arial"/>
          <w:sz w:val="24"/>
          <w:szCs w:val="24"/>
        </w:rPr>
        <w:t xml:space="preserve"> SZ, </w:t>
      </w:r>
      <w:proofErr w:type="spellStart"/>
      <w:r w:rsidRPr="009551E2">
        <w:rPr>
          <w:rFonts w:ascii="Arial" w:hAnsi="Arial" w:cs="Arial"/>
          <w:sz w:val="24"/>
          <w:szCs w:val="24"/>
        </w:rPr>
        <w:t>Mermel</w:t>
      </w:r>
      <w:proofErr w:type="spellEnd"/>
      <w:r w:rsidRPr="009551E2">
        <w:rPr>
          <w:rFonts w:ascii="Arial" w:hAnsi="Arial" w:cs="Arial"/>
          <w:sz w:val="24"/>
          <w:szCs w:val="24"/>
        </w:rPr>
        <w:t xml:space="preserve"> LA, Jefferson JA, </w:t>
      </w:r>
      <w:proofErr w:type="spellStart"/>
      <w:r w:rsidRPr="009551E2">
        <w:rPr>
          <w:rFonts w:ascii="Arial" w:hAnsi="Arial" w:cs="Arial"/>
          <w:sz w:val="24"/>
          <w:szCs w:val="24"/>
        </w:rPr>
        <w:t>Parenteau</w:t>
      </w:r>
      <w:proofErr w:type="spellEnd"/>
      <w:r w:rsidRPr="009551E2">
        <w:rPr>
          <w:rFonts w:ascii="Arial" w:hAnsi="Arial" w:cs="Arial"/>
          <w:sz w:val="24"/>
          <w:szCs w:val="24"/>
        </w:rPr>
        <w:t xml:space="preserve"> SL, </w:t>
      </w:r>
      <w:proofErr w:type="spellStart"/>
      <w:r w:rsidRPr="009551E2">
        <w:rPr>
          <w:rFonts w:ascii="Arial" w:hAnsi="Arial" w:cs="Arial"/>
          <w:sz w:val="24"/>
          <w:szCs w:val="24"/>
        </w:rPr>
        <w:t>Machan</w:t>
      </w:r>
      <w:proofErr w:type="spellEnd"/>
      <w:r w:rsidRPr="009551E2">
        <w:rPr>
          <w:rFonts w:ascii="Arial" w:hAnsi="Arial" w:cs="Arial"/>
          <w:sz w:val="24"/>
          <w:szCs w:val="24"/>
        </w:rPr>
        <w:t xml:space="preserve"> JT. Impact of </w:t>
      </w:r>
      <w:proofErr w:type="spellStart"/>
      <w:r w:rsidRPr="009551E2">
        <w:rPr>
          <w:rFonts w:ascii="Arial" w:hAnsi="Arial" w:cs="Arial"/>
          <w:sz w:val="24"/>
          <w:szCs w:val="24"/>
        </w:rPr>
        <w:t>chlorhexidine</w:t>
      </w:r>
      <w:proofErr w:type="spellEnd"/>
      <w:r w:rsidRPr="009551E2">
        <w:rPr>
          <w:rFonts w:ascii="Arial" w:hAnsi="Arial" w:cs="Arial"/>
          <w:sz w:val="24"/>
          <w:szCs w:val="24"/>
        </w:rPr>
        <w:t xml:space="preserve"> bathing on hospital-acquired infections among general medical patients. </w:t>
      </w:r>
      <w:r w:rsidR="00DA6EAC">
        <w:rPr>
          <w:rFonts w:ascii="Arial" w:hAnsi="Arial" w:cs="Arial"/>
          <w:sz w:val="24"/>
          <w:szCs w:val="24"/>
        </w:rPr>
        <w:t xml:space="preserve"> </w:t>
      </w:r>
      <w:r w:rsidR="00AA5974" w:rsidRPr="009551E2">
        <w:rPr>
          <w:rFonts w:ascii="Arial" w:hAnsi="Arial" w:cs="Arial"/>
          <w:i/>
          <w:iCs/>
          <w:sz w:val="24"/>
          <w:szCs w:val="24"/>
        </w:rPr>
        <w:t xml:space="preserve">Infect Control </w:t>
      </w:r>
      <w:proofErr w:type="spellStart"/>
      <w:r w:rsidR="00AA5974" w:rsidRPr="009551E2">
        <w:rPr>
          <w:rFonts w:ascii="Arial" w:hAnsi="Arial" w:cs="Arial"/>
          <w:i/>
          <w:iCs/>
          <w:sz w:val="24"/>
          <w:szCs w:val="24"/>
        </w:rPr>
        <w:t>Hosp</w:t>
      </w:r>
      <w:proofErr w:type="spellEnd"/>
      <w:r w:rsidR="00AA5974" w:rsidRPr="009551E2">
        <w:rPr>
          <w:rFonts w:ascii="Arial" w:hAnsi="Arial" w:cs="Arial"/>
          <w:i/>
          <w:iCs/>
          <w:sz w:val="24"/>
          <w:szCs w:val="24"/>
        </w:rPr>
        <w:t xml:space="preserve"> </w:t>
      </w:r>
      <w:proofErr w:type="spellStart"/>
      <w:r w:rsidR="00AA5974" w:rsidRPr="009551E2">
        <w:rPr>
          <w:rFonts w:ascii="Arial" w:hAnsi="Arial" w:cs="Arial"/>
          <w:i/>
          <w:iCs/>
          <w:sz w:val="24"/>
          <w:szCs w:val="24"/>
        </w:rPr>
        <w:t>Epidemiol</w:t>
      </w:r>
      <w:proofErr w:type="spellEnd"/>
      <w:r w:rsidR="00AA5974" w:rsidRPr="009551E2">
        <w:rPr>
          <w:rFonts w:ascii="Arial" w:hAnsi="Arial" w:cs="Arial"/>
          <w:i/>
          <w:iCs/>
          <w:sz w:val="24"/>
          <w:szCs w:val="24"/>
        </w:rPr>
        <w:t xml:space="preserve"> </w:t>
      </w:r>
      <w:r w:rsidR="00AA5974" w:rsidRPr="009551E2">
        <w:rPr>
          <w:rFonts w:ascii="Arial" w:hAnsi="Arial" w:cs="Arial"/>
          <w:iCs/>
          <w:sz w:val="24"/>
          <w:szCs w:val="24"/>
        </w:rPr>
        <w:t>2011</w:t>
      </w:r>
      <w:proofErr w:type="gramStart"/>
      <w:r w:rsidR="00AA5974" w:rsidRPr="009551E2">
        <w:rPr>
          <w:rFonts w:ascii="Arial" w:hAnsi="Arial" w:cs="Arial"/>
          <w:iCs/>
          <w:sz w:val="24"/>
          <w:szCs w:val="24"/>
        </w:rPr>
        <w:t>;</w:t>
      </w:r>
      <w:r w:rsidR="00AA5974" w:rsidRPr="006F363D">
        <w:rPr>
          <w:rFonts w:ascii="Arial" w:hAnsi="Arial" w:cs="Arial"/>
          <w:b/>
          <w:iCs/>
          <w:sz w:val="24"/>
          <w:szCs w:val="24"/>
        </w:rPr>
        <w:t>32</w:t>
      </w:r>
      <w:r w:rsidR="00AA5974" w:rsidRPr="009551E2">
        <w:rPr>
          <w:rFonts w:ascii="Arial" w:hAnsi="Arial" w:cs="Arial"/>
          <w:iCs/>
          <w:sz w:val="24"/>
          <w:szCs w:val="24"/>
        </w:rPr>
        <w:t>:238</w:t>
      </w:r>
      <w:proofErr w:type="gramEnd"/>
      <w:r w:rsidR="00AA5974" w:rsidRPr="009551E2">
        <w:rPr>
          <w:rFonts w:ascii="Arial" w:hAnsi="Arial" w:cs="Arial"/>
          <w:iCs/>
          <w:sz w:val="24"/>
          <w:szCs w:val="24"/>
        </w:rPr>
        <w:t>-243.</w:t>
      </w:r>
      <w:r w:rsidR="00DA6EAC">
        <w:rPr>
          <w:rFonts w:ascii="Arial" w:hAnsi="Arial" w:cs="Arial"/>
          <w:sz w:val="24"/>
          <w:szCs w:val="24"/>
        </w:rPr>
        <w:t xml:space="preserve"> </w:t>
      </w:r>
      <w:r w:rsidR="00F776B6">
        <w:rPr>
          <w:rFonts w:ascii="Arial" w:hAnsi="Arial" w:cs="Arial"/>
          <w:color w:val="4F81BD" w:themeColor="accent1"/>
          <w:sz w:val="24"/>
          <w:szCs w:val="24"/>
        </w:rPr>
        <w:fldChar w:fldCharType="begin"/>
      </w:r>
      <w:r w:rsidR="00F776B6">
        <w:rPr>
          <w:rFonts w:ascii="Arial" w:hAnsi="Arial" w:cs="Arial"/>
          <w:color w:val="4F81BD" w:themeColor="accent1"/>
          <w:sz w:val="24"/>
          <w:szCs w:val="24"/>
        </w:rPr>
        <w:instrText xml:space="preserve"> HYPERLINK "</w:instrText>
      </w:r>
      <w:r w:rsidR="00F776B6" w:rsidRPr="005F334F">
        <w:rPr>
          <w:rFonts w:ascii="Arial" w:hAnsi="Arial" w:cs="Arial"/>
          <w:color w:val="4F81BD" w:themeColor="accent1"/>
          <w:sz w:val="24"/>
          <w:szCs w:val="24"/>
        </w:rPr>
        <w:instrText>http://www.ncbi.nlm.nih.gov/pubmed/21460508</w:instrText>
      </w:r>
      <w:r w:rsidR="00F776B6">
        <w:rPr>
          <w:rFonts w:ascii="Arial" w:hAnsi="Arial" w:cs="Arial"/>
          <w:color w:val="4F81BD" w:themeColor="accent1"/>
          <w:sz w:val="24"/>
          <w:szCs w:val="24"/>
        </w:rPr>
        <w:instrText xml:space="preserve">" </w:instrText>
      </w:r>
      <w:r w:rsidR="00F776B6">
        <w:rPr>
          <w:rFonts w:ascii="Arial" w:hAnsi="Arial" w:cs="Arial"/>
          <w:color w:val="4F81BD" w:themeColor="accent1"/>
          <w:sz w:val="24"/>
          <w:szCs w:val="24"/>
        </w:rPr>
        <w:fldChar w:fldCharType="separate"/>
      </w:r>
      <w:r w:rsidR="00F776B6" w:rsidRPr="00F24717">
        <w:rPr>
          <w:rStyle w:val="Hyperlink"/>
          <w:rFonts w:ascii="Arial" w:hAnsi="Arial" w:cs="Arial"/>
          <w:sz w:val="24"/>
          <w:szCs w:val="24"/>
        </w:rPr>
        <w:t>http://www.ncbi.nlm.nih.gov/pubmed/21460508</w:t>
      </w:r>
      <w:r w:rsidR="00F776B6">
        <w:rPr>
          <w:rFonts w:ascii="Arial" w:hAnsi="Arial" w:cs="Arial"/>
          <w:color w:val="4F81BD" w:themeColor="accent1"/>
          <w:sz w:val="24"/>
          <w:szCs w:val="24"/>
        </w:rPr>
        <w:fldChar w:fldCharType="end"/>
      </w:r>
      <w:r w:rsidR="00F776B6">
        <w:rPr>
          <w:rFonts w:ascii="Arial" w:hAnsi="Arial" w:cs="Arial"/>
          <w:sz w:val="24"/>
          <w:szCs w:val="24"/>
        </w:rPr>
        <w:t xml:space="preserve"> </w:t>
      </w:r>
      <w:r w:rsidR="00DA6EAC">
        <w:rPr>
          <w:rFonts w:ascii="Arial" w:hAnsi="Arial" w:cs="Arial"/>
          <w:sz w:val="24"/>
          <w:szCs w:val="24"/>
        </w:rPr>
        <w:t xml:space="preserve">                   </w:t>
      </w:r>
    </w:p>
    <w:p w:rsidR="002D368A" w:rsidRPr="005F334F" w:rsidRDefault="002D368A" w:rsidP="00747D85">
      <w:pPr>
        <w:numPr>
          <w:ilvl w:val="0"/>
          <w:numId w:val="2"/>
        </w:numPr>
        <w:shd w:val="clear" w:color="auto" w:fill="FFFFFF"/>
        <w:spacing w:after="0" w:line="480" w:lineRule="auto"/>
        <w:rPr>
          <w:rFonts w:ascii="Arial" w:hAnsi="Arial" w:cs="Arial"/>
          <w:color w:val="4F81BD" w:themeColor="accent1"/>
          <w:sz w:val="24"/>
          <w:szCs w:val="24"/>
        </w:rPr>
      </w:pPr>
      <w:r w:rsidRPr="009551E2">
        <w:rPr>
          <w:rFonts w:ascii="Arial" w:hAnsi="Arial" w:cs="Arial"/>
          <w:sz w:val="24"/>
          <w:szCs w:val="24"/>
        </w:rPr>
        <w:t xml:space="preserve">Willis GC, </w:t>
      </w:r>
      <w:proofErr w:type="spellStart"/>
      <w:r w:rsidRPr="009551E2">
        <w:rPr>
          <w:rFonts w:ascii="Arial" w:hAnsi="Arial" w:cs="Arial"/>
          <w:sz w:val="24"/>
          <w:szCs w:val="24"/>
        </w:rPr>
        <w:t>Chng</w:t>
      </w:r>
      <w:proofErr w:type="spellEnd"/>
      <w:r w:rsidRPr="009551E2">
        <w:rPr>
          <w:rFonts w:ascii="Arial" w:hAnsi="Arial" w:cs="Arial"/>
          <w:sz w:val="24"/>
          <w:szCs w:val="24"/>
        </w:rPr>
        <w:t xml:space="preserve"> FLC, Foo ML, </w:t>
      </w:r>
      <w:proofErr w:type="spellStart"/>
      <w:r w:rsidRPr="009551E2">
        <w:rPr>
          <w:rFonts w:ascii="Arial" w:hAnsi="Arial" w:cs="Arial"/>
          <w:sz w:val="24"/>
          <w:szCs w:val="24"/>
        </w:rPr>
        <w:t>Ooi</w:t>
      </w:r>
      <w:proofErr w:type="spellEnd"/>
      <w:r w:rsidRPr="009551E2">
        <w:rPr>
          <w:rFonts w:ascii="Arial" w:hAnsi="Arial" w:cs="Arial"/>
          <w:sz w:val="24"/>
          <w:szCs w:val="24"/>
        </w:rPr>
        <w:t xml:space="preserve"> ST. </w:t>
      </w:r>
      <w:r w:rsidRPr="009551E2">
        <w:rPr>
          <w:rFonts w:ascii="Arial" w:eastAsia="Times New Roman" w:hAnsi="Arial" w:cs="Arial"/>
          <w:bCs/>
          <w:sz w:val="24"/>
          <w:szCs w:val="24"/>
        </w:rPr>
        <w:t xml:space="preserve">The effect of daily </w:t>
      </w:r>
      <w:proofErr w:type="spellStart"/>
      <w:r w:rsidRPr="009551E2">
        <w:rPr>
          <w:rFonts w:ascii="Arial" w:eastAsia="Times New Roman" w:hAnsi="Arial" w:cs="Arial"/>
          <w:bCs/>
          <w:sz w:val="24"/>
          <w:szCs w:val="24"/>
        </w:rPr>
        <w:t>chlorhexidine</w:t>
      </w:r>
      <w:proofErr w:type="spellEnd"/>
      <w:r w:rsidRPr="009551E2">
        <w:rPr>
          <w:rFonts w:ascii="Arial" w:eastAsia="Times New Roman" w:hAnsi="Arial" w:cs="Arial"/>
          <w:bCs/>
          <w:sz w:val="24"/>
          <w:szCs w:val="24"/>
        </w:rPr>
        <w:t xml:space="preserve"> baths on nosocomial methicillin-resistant </w:t>
      </w:r>
      <w:r w:rsidRPr="009551E2">
        <w:rPr>
          <w:rFonts w:ascii="Arial" w:eastAsia="Times New Roman" w:hAnsi="Arial" w:cs="Arial"/>
          <w:bCs/>
          <w:i/>
          <w:sz w:val="24"/>
          <w:szCs w:val="24"/>
        </w:rPr>
        <w:t>S</w:t>
      </w:r>
      <w:r w:rsidRPr="009551E2">
        <w:rPr>
          <w:rFonts w:ascii="Arial" w:eastAsia="Times New Roman" w:hAnsi="Arial" w:cs="Arial"/>
          <w:bCs/>
          <w:i/>
          <w:iCs/>
          <w:sz w:val="24"/>
          <w:szCs w:val="24"/>
        </w:rPr>
        <w:t xml:space="preserve">taphylococcus </w:t>
      </w:r>
      <w:proofErr w:type="spellStart"/>
      <w:r w:rsidRPr="009551E2">
        <w:rPr>
          <w:rFonts w:ascii="Arial" w:eastAsia="Times New Roman" w:hAnsi="Arial" w:cs="Arial"/>
          <w:bCs/>
          <w:i/>
          <w:iCs/>
          <w:sz w:val="24"/>
          <w:szCs w:val="24"/>
        </w:rPr>
        <w:t>aureus</w:t>
      </w:r>
      <w:proofErr w:type="spellEnd"/>
      <w:r w:rsidRPr="009551E2">
        <w:rPr>
          <w:rFonts w:ascii="Arial" w:eastAsia="Times New Roman" w:hAnsi="Arial" w:cs="Arial"/>
          <w:bCs/>
          <w:sz w:val="24"/>
          <w:szCs w:val="24"/>
        </w:rPr>
        <w:t xml:space="preserve"> infection in general wards. In: </w:t>
      </w:r>
      <w:r w:rsidRPr="005F334F">
        <w:rPr>
          <w:rFonts w:ascii="Arial" w:eastAsia="Times New Roman" w:hAnsi="Arial" w:cs="Arial"/>
          <w:bCs/>
          <w:i/>
          <w:sz w:val="24"/>
          <w:szCs w:val="24"/>
        </w:rPr>
        <w:t xml:space="preserve">Program and abstracts </w:t>
      </w:r>
      <w:proofErr w:type="gramStart"/>
      <w:r w:rsidRPr="005F334F">
        <w:rPr>
          <w:rFonts w:ascii="Arial" w:eastAsia="Times New Roman" w:hAnsi="Arial" w:cs="Arial"/>
          <w:bCs/>
          <w:i/>
          <w:sz w:val="24"/>
          <w:szCs w:val="24"/>
        </w:rPr>
        <w:t>of  inaugural</w:t>
      </w:r>
      <w:proofErr w:type="gramEnd"/>
      <w:r w:rsidRPr="005F334F">
        <w:rPr>
          <w:rFonts w:ascii="Arial" w:eastAsia="Times New Roman" w:hAnsi="Arial" w:cs="Arial"/>
          <w:bCs/>
          <w:i/>
          <w:sz w:val="24"/>
          <w:szCs w:val="24"/>
        </w:rPr>
        <w:t xml:space="preserve"> ID Week 2012; October 16-21, 2012; San Diego, CA. Abstract 1545</w:t>
      </w:r>
      <w:r w:rsidR="00DA6EAC" w:rsidRPr="005F334F">
        <w:rPr>
          <w:rFonts w:ascii="Arial" w:eastAsia="Times New Roman" w:hAnsi="Arial" w:cs="Arial"/>
          <w:bCs/>
          <w:i/>
          <w:sz w:val="24"/>
          <w:szCs w:val="24"/>
        </w:rPr>
        <w:t>.</w:t>
      </w:r>
      <w:r w:rsidR="00747D85">
        <w:rPr>
          <w:rFonts w:ascii="Arial" w:eastAsia="Times New Roman" w:hAnsi="Arial" w:cs="Arial"/>
          <w:bCs/>
          <w:i/>
          <w:sz w:val="24"/>
          <w:szCs w:val="24"/>
        </w:rPr>
        <w:t xml:space="preserve"> </w:t>
      </w:r>
      <w:r w:rsidR="00F776B6">
        <w:rPr>
          <w:rFonts w:ascii="Arial" w:eastAsia="Times New Roman" w:hAnsi="Arial" w:cs="Arial"/>
          <w:bCs/>
          <w:color w:val="4F81BD" w:themeColor="accent1"/>
          <w:sz w:val="24"/>
          <w:szCs w:val="24"/>
        </w:rPr>
        <w:fldChar w:fldCharType="begin"/>
      </w:r>
      <w:r w:rsidR="00F776B6">
        <w:rPr>
          <w:rFonts w:ascii="Arial" w:eastAsia="Times New Roman" w:hAnsi="Arial" w:cs="Arial"/>
          <w:bCs/>
          <w:color w:val="4F81BD" w:themeColor="accent1"/>
          <w:sz w:val="24"/>
          <w:szCs w:val="24"/>
        </w:rPr>
        <w:instrText xml:space="preserve"> HYPERLINK "</w:instrText>
      </w:r>
      <w:r w:rsidR="00F776B6" w:rsidRPr="005F334F">
        <w:rPr>
          <w:rFonts w:ascii="Arial" w:eastAsia="Times New Roman" w:hAnsi="Arial" w:cs="Arial"/>
          <w:bCs/>
          <w:color w:val="4F81BD" w:themeColor="accent1"/>
          <w:sz w:val="24"/>
          <w:szCs w:val="24"/>
        </w:rPr>
        <w:instrText>https://idsa.confex.com/idsa/2012/webprogram/Paper34533.html</w:instrText>
      </w:r>
      <w:r w:rsidR="00F776B6">
        <w:rPr>
          <w:rFonts w:ascii="Arial" w:eastAsia="Times New Roman" w:hAnsi="Arial" w:cs="Arial"/>
          <w:bCs/>
          <w:color w:val="4F81BD" w:themeColor="accent1"/>
          <w:sz w:val="24"/>
          <w:szCs w:val="24"/>
        </w:rPr>
        <w:instrText xml:space="preserve">" </w:instrText>
      </w:r>
      <w:r w:rsidR="00F776B6">
        <w:rPr>
          <w:rFonts w:ascii="Arial" w:eastAsia="Times New Roman" w:hAnsi="Arial" w:cs="Arial"/>
          <w:bCs/>
          <w:color w:val="4F81BD" w:themeColor="accent1"/>
          <w:sz w:val="24"/>
          <w:szCs w:val="24"/>
        </w:rPr>
        <w:fldChar w:fldCharType="separate"/>
      </w:r>
      <w:r w:rsidR="00F776B6" w:rsidRPr="00F24717">
        <w:rPr>
          <w:rStyle w:val="Hyperlink"/>
          <w:rFonts w:ascii="Arial" w:eastAsia="Times New Roman" w:hAnsi="Arial" w:cs="Arial"/>
          <w:bCs/>
          <w:sz w:val="24"/>
          <w:szCs w:val="24"/>
        </w:rPr>
        <w:t>https://idsa.confex.com/idsa/2012/webprogram/Paper34533.html</w:t>
      </w:r>
      <w:r w:rsidR="00F776B6">
        <w:rPr>
          <w:rFonts w:ascii="Arial" w:eastAsia="Times New Roman" w:hAnsi="Arial" w:cs="Arial"/>
          <w:bCs/>
          <w:color w:val="4F81BD" w:themeColor="accent1"/>
          <w:sz w:val="24"/>
          <w:szCs w:val="24"/>
        </w:rPr>
        <w:fldChar w:fldCharType="end"/>
      </w:r>
      <w:r w:rsidR="00F776B6">
        <w:rPr>
          <w:rFonts w:ascii="Arial" w:eastAsia="Times New Roman" w:hAnsi="Arial" w:cs="Arial"/>
          <w:bCs/>
          <w:color w:val="4F81BD" w:themeColor="accent1"/>
          <w:sz w:val="24"/>
          <w:szCs w:val="24"/>
        </w:rPr>
        <w:t xml:space="preserve"> </w:t>
      </w:r>
    </w:p>
    <w:p w:rsidR="002D368A" w:rsidRPr="009551E2" w:rsidRDefault="002D368A" w:rsidP="00747D85">
      <w:pPr>
        <w:numPr>
          <w:ilvl w:val="0"/>
          <w:numId w:val="2"/>
        </w:numPr>
        <w:shd w:val="clear" w:color="auto" w:fill="FFFFFF"/>
        <w:spacing w:after="0" w:line="480" w:lineRule="auto"/>
        <w:rPr>
          <w:rFonts w:ascii="Arial" w:hAnsi="Arial" w:cs="Arial"/>
          <w:sz w:val="24"/>
          <w:szCs w:val="24"/>
        </w:rPr>
      </w:pPr>
      <w:r w:rsidRPr="009551E2">
        <w:rPr>
          <w:rFonts w:ascii="Arial" w:hAnsi="Arial" w:cs="Arial"/>
          <w:sz w:val="24"/>
          <w:szCs w:val="24"/>
        </w:rPr>
        <w:t xml:space="preserve">Lim KS, </w:t>
      </w:r>
      <w:proofErr w:type="spellStart"/>
      <w:r w:rsidRPr="009551E2">
        <w:rPr>
          <w:rFonts w:ascii="Arial" w:hAnsi="Arial" w:cs="Arial"/>
          <w:sz w:val="24"/>
          <w:szCs w:val="24"/>
        </w:rPr>
        <w:t>Kam</w:t>
      </w:r>
      <w:proofErr w:type="spellEnd"/>
      <w:r w:rsidRPr="009551E2">
        <w:rPr>
          <w:rFonts w:ascii="Arial" w:hAnsi="Arial" w:cs="Arial"/>
          <w:sz w:val="24"/>
          <w:szCs w:val="24"/>
        </w:rPr>
        <w:t xml:space="preserve"> PC. </w:t>
      </w:r>
      <w:proofErr w:type="spellStart"/>
      <w:r w:rsidRPr="009551E2">
        <w:rPr>
          <w:rFonts w:ascii="Arial" w:hAnsi="Arial" w:cs="Arial"/>
          <w:sz w:val="24"/>
          <w:szCs w:val="24"/>
        </w:rPr>
        <w:t>Chlorhexidine</w:t>
      </w:r>
      <w:proofErr w:type="spellEnd"/>
      <w:r w:rsidRPr="009551E2">
        <w:rPr>
          <w:rFonts w:ascii="Arial" w:hAnsi="Arial" w:cs="Arial"/>
          <w:sz w:val="24"/>
          <w:szCs w:val="24"/>
        </w:rPr>
        <w:t xml:space="preserve"> – pharmacology and clinical applications. </w:t>
      </w:r>
      <w:r w:rsidR="00AA5974">
        <w:rPr>
          <w:rFonts w:ascii="Arial" w:hAnsi="Arial" w:cs="Arial"/>
          <w:sz w:val="24"/>
          <w:szCs w:val="24"/>
        </w:rPr>
        <w:t xml:space="preserve">   </w:t>
      </w:r>
      <w:proofErr w:type="spellStart"/>
      <w:r w:rsidR="00AA5974" w:rsidRPr="009551E2">
        <w:rPr>
          <w:rStyle w:val="st1"/>
          <w:rFonts w:ascii="Arial" w:hAnsi="Arial" w:cs="Arial"/>
          <w:i/>
          <w:color w:val="000000"/>
          <w:sz w:val="24"/>
          <w:szCs w:val="24"/>
        </w:rPr>
        <w:t>Anaesth</w:t>
      </w:r>
      <w:proofErr w:type="spellEnd"/>
      <w:r w:rsidR="00AA5974" w:rsidRPr="009551E2">
        <w:rPr>
          <w:rStyle w:val="st1"/>
          <w:rFonts w:ascii="Arial" w:hAnsi="Arial" w:cs="Arial"/>
          <w:i/>
          <w:color w:val="000000"/>
          <w:sz w:val="24"/>
          <w:szCs w:val="24"/>
        </w:rPr>
        <w:t xml:space="preserve"> </w:t>
      </w:r>
      <w:proofErr w:type="spellStart"/>
      <w:r w:rsidR="00AA5974" w:rsidRPr="009551E2">
        <w:rPr>
          <w:rStyle w:val="st1"/>
          <w:rFonts w:ascii="Arial" w:hAnsi="Arial" w:cs="Arial"/>
          <w:i/>
          <w:color w:val="000000"/>
          <w:sz w:val="24"/>
          <w:szCs w:val="24"/>
        </w:rPr>
        <w:t>intens</w:t>
      </w:r>
      <w:proofErr w:type="spellEnd"/>
      <w:r w:rsidR="00AA5974" w:rsidRPr="009551E2">
        <w:rPr>
          <w:rStyle w:val="st1"/>
          <w:rFonts w:ascii="Arial" w:hAnsi="Arial" w:cs="Arial"/>
          <w:i/>
          <w:color w:val="000000"/>
          <w:sz w:val="24"/>
          <w:szCs w:val="24"/>
        </w:rPr>
        <w:t xml:space="preserve"> </w:t>
      </w:r>
      <w:r w:rsidR="00AA5974" w:rsidRPr="009551E2">
        <w:rPr>
          <w:rStyle w:val="st1"/>
          <w:rFonts w:ascii="Arial" w:hAnsi="Arial" w:cs="Arial"/>
          <w:bCs/>
          <w:i/>
          <w:color w:val="000000"/>
          <w:sz w:val="24"/>
          <w:szCs w:val="24"/>
        </w:rPr>
        <w:t>care</w:t>
      </w:r>
      <w:r w:rsidR="00AA5974" w:rsidRPr="009551E2">
        <w:rPr>
          <w:rFonts w:ascii="Arial" w:hAnsi="Arial" w:cs="Arial"/>
          <w:i/>
          <w:sz w:val="24"/>
          <w:szCs w:val="24"/>
        </w:rPr>
        <w:t xml:space="preserve"> </w:t>
      </w:r>
      <w:r w:rsidR="00AA5974" w:rsidRPr="009551E2">
        <w:rPr>
          <w:rFonts w:ascii="Arial" w:hAnsi="Arial" w:cs="Arial"/>
          <w:sz w:val="24"/>
          <w:szCs w:val="24"/>
        </w:rPr>
        <w:t>2008</w:t>
      </w:r>
      <w:proofErr w:type="gramStart"/>
      <w:r w:rsidR="00AA5974" w:rsidRPr="009551E2">
        <w:rPr>
          <w:rFonts w:ascii="Arial" w:hAnsi="Arial" w:cs="Arial"/>
          <w:sz w:val="24"/>
          <w:szCs w:val="24"/>
        </w:rPr>
        <w:t>;</w:t>
      </w:r>
      <w:r w:rsidR="00AA5974" w:rsidRPr="006F363D">
        <w:rPr>
          <w:rFonts w:ascii="Arial" w:hAnsi="Arial" w:cs="Arial"/>
          <w:b/>
          <w:sz w:val="24"/>
          <w:szCs w:val="24"/>
        </w:rPr>
        <w:t>36</w:t>
      </w:r>
      <w:r w:rsidR="00AA5974" w:rsidRPr="009551E2">
        <w:rPr>
          <w:rFonts w:ascii="Arial" w:hAnsi="Arial" w:cs="Arial"/>
          <w:sz w:val="24"/>
          <w:szCs w:val="24"/>
        </w:rPr>
        <w:t>:502</w:t>
      </w:r>
      <w:proofErr w:type="gramEnd"/>
      <w:r w:rsidR="00AA5974" w:rsidRPr="009551E2">
        <w:rPr>
          <w:rFonts w:ascii="Arial" w:hAnsi="Arial" w:cs="Arial"/>
          <w:sz w:val="24"/>
          <w:szCs w:val="24"/>
        </w:rPr>
        <w:t>-512.</w:t>
      </w:r>
      <w:r w:rsidR="00AA5974">
        <w:rPr>
          <w:rFonts w:ascii="Arial" w:hAnsi="Arial" w:cs="Arial"/>
          <w:sz w:val="24"/>
          <w:szCs w:val="24"/>
        </w:rPr>
        <w:t xml:space="preserve"> </w:t>
      </w:r>
      <w:r w:rsidR="00F776B6">
        <w:rPr>
          <w:rFonts w:ascii="Arial" w:hAnsi="Arial" w:cs="Arial"/>
          <w:color w:val="4F81BD" w:themeColor="accent1"/>
          <w:sz w:val="24"/>
          <w:szCs w:val="24"/>
        </w:rPr>
        <w:fldChar w:fldCharType="begin"/>
      </w:r>
      <w:r w:rsidR="00F776B6">
        <w:rPr>
          <w:rFonts w:ascii="Arial" w:hAnsi="Arial" w:cs="Arial"/>
          <w:color w:val="4F81BD" w:themeColor="accent1"/>
          <w:sz w:val="24"/>
          <w:szCs w:val="24"/>
        </w:rPr>
        <w:instrText xml:space="preserve"> HYPERLINK "</w:instrText>
      </w:r>
      <w:r w:rsidR="00F776B6" w:rsidRPr="005F334F">
        <w:rPr>
          <w:rFonts w:ascii="Arial" w:hAnsi="Arial" w:cs="Arial"/>
          <w:color w:val="4F81BD" w:themeColor="accent1"/>
          <w:sz w:val="24"/>
          <w:szCs w:val="24"/>
        </w:rPr>
        <w:instrText>http://www.ncbi.nlm.nih.gov/pubmed/18714617</w:instrText>
      </w:r>
      <w:r w:rsidR="00F776B6">
        <w:rPr>
          <w:rFonts w:ascii="Arial" w:hAnsi="Arial" w:cs="Arial"/>
          <w:color w:val="4F81BD" w:themeColor="accent1"/>
          <w:sz w:val="24"/>
          <w:szCs w:val="24"/>
        </w:rPr>
        <w:instrText xml:space="preserve">" </w:instrText>
      </w:r>
      <w:r w:rsidR="00F776B6">
        <w:rPr>
          <w:rFonts w:ascii="Arial" w:hAnsi="Arial" w:cs="Arial"/>
          <w:color w:val="4F81BD" w:themeColor="accent1"/>
          <w:sz w:val="24"/>
          <w:szCs w:val="24"/>
        </w:rPr>
        <w:fldChar w:fldCharType="separate"/>
      </w:r>
      <w:r w:rsidR="00F776B6" w:rsidRPr="00F24717">
        <w:rPr>
          <w:rStyle w:val="Hyperlink"/>
          <w:rFonts w:ascii="Arial" w:hAnsi="Arial" w:cs="Arial"/>
          <w:sz w:val="24"/>
          <w:szCs w:val="24"/>
        </w:rPr>
        <w:t>http://www.ncbi.nlm.nih.gov/pubmed/18714617</w:t>
      </w:r>
      <w:r w:rsidR="00F776B6">
        <w:rPr>
          <w:rFonts w:ascii="Arial" w:hAnsi="Arial" w:cs="Arial"/>
          <w:color w:val="4F81BD" w:themeColor="accent1"/>
          <w:sz w:val="24"/>
          <w:szCs w:val="24"/>
        </w:rPr>
        <w:fldChar w:fldCharType="end"/>
      </w:r>
      <w:r w:rsidR="00F776B6">
        <w:rPr>
          <w:rFonts w:ascii="Arial" w:hAnsi="Arial" w:cs="Arial"/>
          <w:color w:val="4F81BD" w:themeColor="accent1"/>
          <w:sz w:val="24"/>
          <w:szCs w:val="24"/>
        </w:rPr>
        <w:t xml:space="preserve"> </w:t>
      </w:r>
      <w:r w:rsidR="00AA5974" w:rsidRPr="005F334F">
        <w:rPr>
          <w:rStyle w:val="st1"/>
          <w:rFonts w:ascii="Arial" w:hAnsi="Arial" w:cs="Arial"/>
          <w:color w:val="4F81BD" w:themeColor="accent1"/>
          <w:sz w:val="24"/>
          <w:szCs w:val="24"/>
        </w:rPr>
        <w:t xml:space="preserve"> </w:t>
      </w:r>
      <w:r w:rsidR="00747D85" w:rsidRPr="005F334F">
        <w:rPr>
          <w:rStyle w:val="st1"/>
          <w:rFonts w:ascii="Arial" w:hAnsi="Arial" w:cs="Arial"/>
          <w:color w:val="4F81BD" w:themeColor="accent1"/>
          <w:sz w:val="24"/>
          <w:szCs w:val="24"/>
        </w:rPr>
        <w:t xml:space="preserve"> </w:t>
      </w:r>
      <w:r w:rsidR="00747D85">
        <w:rPr>
          <w:rStyle w:val="st1"/>
          <w:rFonts w:ascii="Arial" w:hAnsi="Arial" w:cs="Arial"/>
          <w:sz w:val="24"/>
          <w:szCs w:val="24"/>
        </w:rPr>
        <w:t xml:space="preserve">                                         </w:t>
      </w:r>
    </w:p>
    <w:p w:rsidR="000B0A44" w:rsidRPr="000B0A44" w:rsidRDefault="002D368A">
      <w:pPr>
        <w:numPr>
          <w:ilvl w:val="0"/>
          <w:numId w:val="2"/>
        </w:numPr>
        <w:shd w:val="clear" w:color="auto" w:fill="FFFFFF"/>
        <w:autoSpaceDE w:val="0"/>
        <w:autoSpaceDN w:val="0"/>
        <w:adjustRightInd w:val="0"/>
        <w:spacing w:after="0" w:line="480" w:lineRule="auto"/>
        <w:rPr>
          <w:rFonts w:ascii="Arial" w:hAnsi="Arial" w:cs="Arial"/>
          <w:color w:val="4F81BD" w:themeColor="accent1"/>
          <w:sz w:val="24"/>
          <w:szCs w:val="24"/>
        </w:rPr>
      </w:pPr>
      <w:r w:rsidRPr="000B0A44">
        <w:rPr>
          <w:rFonts w:ascii="Arial" w:hAnsi="Arial" w:cs="Arial"/>
          <w:sz w:val="24"/>
          <w:szCs w:val="24"/>
        </w:rPr>
        <w:t xml:space="preserve">Hibbard JS. Analyses comparing the antimicrobial activity and safety of current antiseptic agents.  </w:t>
      </w:r>
      <w:r w:rsidR="000B0A44" w:rsidRPr="005F334F">
        <w:rPr>
          <w:rFonts w:ascii="Arial" w:hAnsi="Arial" w:cs="Arial"/>
          <w:i/>
          <w:sz w:val="24"/>
          <w:szCs w:val="24"/>
        </w:rPr>
        <w:t xml:space="preserve">J </w:t>
      </w:r>
      <w:proofErr w:type="spellStart"/>
      <w:r w:rsidR="000B0A44" w:rsidRPr="005F334F">
        <w:rPr>
          <w:rFonts w:ascii="Arial" w:hAnsi="Arial" w:cs="Arial"/>
          <w:i/>
          <w:sz w:val="24"/>
          <w:szCs w:val="24"/>
        </w:rPr>
        <w:t>Infus</w:t>
      </w:r>
      <w:proofErr w:type="spellEnd"/>
      <w:r w:rsidR="000B0A44" w:rsidRPr="005F334F">
        <w:rPr>
          <w:rFonts w:ascii="Arial" w:hAnsi="Arial" w:cs="Arial"/>
          <w:i/>
          <w:sz w:val="24"/>
          <w:szCs w:val="24"/>
        </w:rPr>
        <w:t xml:space="preserve"> </w:t>
      </w:r>
      <w:proofErr w:type="spellStart"/>
      <w:r w:rsidR="000B0A44" w:rsidRPr="005F334F">
        <w:rPr>
          <w:rFonts w:ascii="Arial" w:hAnsi="Arial" w:cs="Arial"/>
          <w:i/>
          <w:sz w:val="24"/>
          <w:szCs w:val="24"/>
        </w:rPr>
        <w:t>Nurs</w:t>
      </w:r>
      <w:proofErr w:type="spellEnd"/>
      <w:r w:rsidR="000B0A44" w:rsidRPr="005F334F">
        <w:rPr>
          <w:rFonts w:ascii="Arial" w:hAnsi="Arial" w:cs="Arial"/>
          <w:i/>
          <w:sz w:val="24"/>
          <w:szCs w:val="24"/>
        </w:rPr>
        <w:t xml:space="preserve"> 2005</w:t>
      </w:r>
      <w:proofErr w:type="gramStart"/>
      <w:r w:rsidR="000B0A44" w:rsidRPr="005F334F">
        <w:rPr>
          <w:rFonts w:ascii="Arial" w:hAnsi="Arial" w:cs="Arial"/>
          <w:i/>
          <w:sz w:val="24"/>
          <w:szCs w:val="24"/>
        </w:rPr>
        <w:t>;</w:t>
      </w:r>
      <w:r w:rsidR="000B0A44" w:rsidRPr="005F334F">
        <w:rPr>
          <w:rFonts w:ascii="Arial" w:hAnsi="Arial" w:cs="Arial"/>
          <w:b/>
          <w:i/>
          <w:sz w:val="24"/>
          <w:szCs w:val="24"/>
        </w:rPr>
        <w:t>28</w:t>
      </w:r>
      <w:r w:rsidR="000B0A44" w:rsidRPr="005F334F">
        <w:rPr>
          <w:rFonts w:ascii="Arial" w:hAnsi="Arial" w:cs="Arial"/>
          <w:i/>
          <w:sz w:val="24"/>
          <w:szCs w:val="24"/>
        </w:rPr>
        <w:t>:194</w:t>
      </w:r>
      <w:proofErr w:type="gramEnd"/>
      <w:r w:rsidR="000B0A44" w:rsidRPr="005F334F">
        <w:rPr>
          <w:rFonts w:ascii="Arial" w:hAnsi="Arial" w:cs="Arial"/>
          <w:i/>
          <w:sz w:val="24"/>
          <w:szCs w:val="24"/>
        </w:rPr>
        <w:t>-207</w:t>
      </w:r>
      <w:r w:rsidR="000B0A44" w:rsidRPr="000B0A44">
        <w:rPr>
          <w:rFonts w:ascii="Arial" w:hAnsi="Arial" w:cs="Arial"/>
          <w:i/>
          <w:sz w:val="24"/>
          <w:szCs w:val="24"/>
        </w:rPr>
        <w:t xml:space="preserve">. </w:t>
      </w:r>
      <w:hyperlink r:id="rId21" w:history="1">
        <w:r w:rsidR="000B0A44" w:rsidRPr="00F776B6">
          <w:rPr>
            <w:rStyle w:val="Hyperlink"/>
            <w:rFonts w:ascii="Arial" w:hAnsi="Arial" w:cs="Arial"/>
            <w:sz w:val="24"/>
            <w:szCs w:val="24"/>
          </w:rPr>
          <w:t>http://www.ncbi.nlm.nih.gov/pubmed/15912075</w:t>
        </w:r>
      </w:hyperlink>
      <w:r w:rsidR="00F776B6">
        <w:rPr>
          <w:rStyle w:val="Hyperlink"/>
          <w:color w:val="4F81BD" w:themeColor="accent1"/>
        </w:rPr>
        <w:t xml:space="preserve"> </w:t>
      </w:r>
    </w:p>
    <w:p w:rsidR="00BF3F7A" w:rsidRPr="000B0A44" w:rsidRDefault="00983B11">
      <w:pPr>
        <w:numPr>
          <w:ilvl w:val="0"/>
          <w:numId w:val="2"/>
        </w:numPr>
        <w:shd w:val="clear" w:color="auto" w:fill="FFFFFF"/>
        <w:autoSpaceDE w:val="0"/>
        <w:autoSpaceDN w:val="0"/>
        <w:adjustRightInd w:val="0"/>
        <w:spacing w:after="0" w:line="480" w:lineRule="auto"/>
        <w:rPr>
          <w:rFonts w:ascii="Arial" w:eastAsia="Times New Roman" w:hAnsi="Arial" w:cs="Arial"/>
          <w:bCs/>
          <w:sz w:val="24"/>
          <w:szCs w:val="24"/>
        </w:rPr>
      </w:pPr>
      <w:hyperlink r:id="rId22" w:history="1">
        <w:r w:rsidR="002D368A" w:rsidRPr="000B0A44">
          <w:rPr>
            <w:rFonts w:ascii="Arial" w:hAnsi="Arial" w:cs="Arial"/>
            <w:sz w:val="24"/>
            <w:szCs w:val="24"/>
          </w:rPr>
          <w:t>Longtin J</w:t>
        </w:r>
      </w:hyperlink>
      <w:r w:rsidR="002D368A" w:rsidRPr="000B0A44">
        <w:rPr>
          <w:rFonts w:ascii="Arial" w:hAnsi="Arial" w:cs="Arial"/>
          <w:sz w:val="24"/>
          <w:szCs w:val="24"/>
        </w:rPr>
        <w:t xml:space="preserve">, </w:t>
      </w:r>
      <w:hyperlink r:id="rId23" w:history="1">
        <w:r w:rsidR="002D368A" w:rsidRPr="000B0A44">
          <w:rPr>
            <w:rFonts w:ascii="Arial" w:hAnsi="Arial" w:cs="Arial"/>
            <w:sz w:val="24"/>
            <w:szCs w:val="24"/>
          </w:rPr>
          <w:t>Seah C</w:t>
        </w:r>
      </w:hyperlink>
      <w:r w:rsidR="002D368A" w:rsidRPr="000B0A44">
        <w:rPr>
          <w:rFonts w:ascii="Arial" w:hAnsi="Arial" w:cs="Arial"/>
          <w:sz w:val="24"/>
          <w:szCs w:val="24"/>
        </w:rPr>
        <w:t xml:space="preserve">, </w:t>
      </w:r>
      <w:hyperlink r:id="rId24" w:history="1">
        <w:r w:rsidR="002D368A" w:rsidRPr="000B0A44">
          <w:rPr>
            <w:rFonts w:ascii="Arial" w:hAnsi="Arial" w:cs="Arial"/>
            <w:sz w:val="24"/>
            <w:szCs w:val="24"/>
          </w:rPr>
          <w:t>Siebert K</w:t>
        </w:r>
      </w:hyperlink>
      <w:r w:rsidR="002D368A" w:rsidRPr="000B0A44">
        <w:rPr>
          <w:rFonts w:ascii="Arial" w:hAnsi="Arial" w:cs="Arial"/>
          <w:sz w:val="24"/>
          <w:szCs w:val="24"/>
        </w:rPr>
        <w:t xml:space="preserve">, et al. Distribution of antiseptic resistance genes </w:t>
      </w:r>
      <w:proofErr w:type="spellStart"/>
      <w:r w:rsidR="002D368A" w:rsidRPr="000B0A44">
        <w:rPr>
          <w:rFonts w:ascii="Arial" w:hAnsi="Arial" w:cs="Arial"/>
          <w:i/>
          <w:iCs/>
          <w:sz w:val="24"/>
          <w:szCs w:val="24"/>
        </w:rPr>
        <w:t>qacA</w:t>
      </w:r>
      <w:proofErr w:type="spellEnd"/>
      <w:r w:rsidR="002D368A" w:rsidRPr="000B0A44">
        <w:rPr>
          <w:rFonts w:ascii="Arial" w:hAnsi="Arial" w:cs="Arial"/>
          <w:i/>
          <w:iCs/>
          <w:sz w:val="24"/>
          <w:szCs w:val="24"/>
        </w:rPr>
        <w:t xml:space="preserve">, </w:t>
      </w:r>
      <w:proofErr w:type="spellStart"/>
      <w:r w:rsidR="002D368A" w:rsidRPr="000B0A44">
        <w:rPr>
          <w:rFonts w:ascii="Arial" w:hAnsi="Arial" w:cs="Arial"/>
          <w:i/>
          <w:iCs/>
          <w:sz w:val="24"/>
          <w:szCs w:val="24"/>
        </w:rPr>
        <w:t>qacB</w:t>
      </w:r>
      <w:proofErr w:type="spellEnd"/>
      <w:r w:rsidR="002D368A" w:rsidRPr="000B0A44">
        <w:rPr>
          <w:rFonts w:ascii="Arial" w:hAnsi="Arial" w:cs="Arial"/>
          <w:sz w:val="24"/>
          <w:szCs w:val="24"/>
        </w:rPr>
        <w:t xml:space="preserve">, and </w:t>
      </w:r>
      <w:proofErr w:type="spellStart"/>
      <w:r w:rsidR="002D368A" w:rsidRPr="000B0A44">
        <w:rPr>
          <w:rFonts w:ascii="Arial" w:hAnsi="Arial" w:cs="Arial"/>
          <w:i/>
          <w:iCs/>
          <w:sz w:val="24"/>
          <w:szCs w:val="24"/>
        </w:rPr>
        <w:t>smr</w:t>
      </w:r>
      <w:proofErr w:type="spellEnd"/>
      <w:r w:rsidR="002D368A" w:rsidRPr="000B0A44">
        <w:rPr>
          <w:rFonts w:ascii="Arial" w:hAnsi="Arial" w:cs="Arial"/>
          <w:i/>
          <w:iCs/>
          <w:sz w:val="24"/>
          <w:szCs w:val="24"/>
        </w:rPr>
        <w:t xml:space="preserve"> </w:t>
      </w:r>
      <w:r w:rsidR="002D368A" w:rsidRPr="000B0A44">
        <w:rPr>
          <w:rFonts w:ascii="Arial" w:hAnsi="Arial" w:cs="Arial"/>
          <w:sz w:val="24"/>
          <w:szCs w:val="24"/>
        </w:rPr>
        <w:t xml:space="preserve">in Methicillin-resistant </w:t>
      </w:r>
      <w:r w:rsidR="002D368A" w:rsidRPr="000B0A44">
        <w:rPr>
          <w:rFonts w:ascii="Arial" w:hAnsi="Arial" w:cs="Arial"/>
          <w:i/>
          <w:iCs/>
          <w:sz w:val="24"/>
          <w:szCs w:val="24"/>
        </w:rPr>
        <w:t xml:space="preserve">Staphylococcus </w:t>
      </w:r>
      <w:proofErr w:type="spellStart"/>
      <w:r w:rsidR="002D368A" w:rsidRPr="000B0A44">
        <w:rPr>
          <w:rFonts w:ascii="Arial" w:hAnsi="Arial" w:cs="Arial"/>
          <w:i/>
          <w:iCs/>
          <w:sz w:val="24"/>
          <w:szCs w:val="24"/>
        </w:rPr>
        <w:t>aureus</w:t>
      </w:r>
      <w:proofErr w:type="spellEnd"/>
      <w:r w:rsidR="002D368A" w:rsidRPr="000B0A44">
        <w:rPr>
          <w:rFonts w:ascii="Arial" w:hAnsi="Arial" w:cs="Arial"/>
          <w:i/>
          <w:iCs/>
          <w:sz w:val="24"/>
          <w:szCs w:val="24"/>
        </w:rPr>
        <w:t xml:space="preserve"> </w:t>
      </w:r>
      <w:r w:rsidR="002D368A" w:rsidRPr="000B0A44">
        <w:rPr>
          <w:rFonts w:ascii="Arial" w:hAnsi="Arial" w:cs="Arial"/>
          <w:sz w:val="24"/>
          <w:szCs w:val="24"/>
        </w:rPr>
        <w:t xml:space="preserve">isolated in Toronto, Canada, from 2005 to 2009. </w:t>
      </w:r>
      <w:proofErr w:type="spellStart"/>
      <w:r w:rsidR="000B0A44" w:rsidRPr="006F363D">
        <w:rPr>
          <w:rStyle w:val="st1"/>
          <w:rFonts w:ascii="Arial" w:hAnsi="Arial" w:cs="Arial"/>
          <w:i/>
          <w:color w:val="000000"/>
          <w:sz w:val="24"/>
          <w:szCs w:val="24"/>
        </w:rPr>
        <w:t>Antimicrob</w:t>
      </w:r>
      <w:proofErr w:type="spellEnd"/>
      <w:r w:rsidR="000B0A44" w:rsidRPr="006F363D">
        <w:rPr>
          <w:rStyle w:val="st1"/>
          <w:rFonts w:ascii="Arial" w:hAnsi="Arial" w:cs="Arial"/>
          <w:i/>
          <w:color w:val="000000"/>
          <w:sz w:val="24"/>
          <w:szCs w:val="24"/>
        </w:rPr>
        <w:t xml:space="preserve"> Agents </w:t>
      </w:r>
      <w:proofErr w:type="spellStart"/>
      <w:r w:rsidR="000B0A44" w:rsidRPr="006F363D">
        <w:rPr>
          <w:rStyle w:val="st1"/>
          <w:rFonts w:ascii="Arial" w:hAnsi="Arial" w:cs="Arial"/>
          <w:i/>
          <w:color w:val="000000"/>
          <w:sz w:val="24"/>
          <w:szCs w:val="24"/>
        </w:rPr>
        <w:t>Chemother</w:t>
      </w:r>
      <w:proofErr w:type="spellEnd"/>
      <w:r w:rsidR="000B0A44" w:rsidRPr="006F363D">
        <w:rPr>
          <w:rFonts w:ascii="Arial" w:hAnsi="Arial" w:cs="Arial"/>
          <w:i/>
          <w:sz w:val="24"/>
          <w:szCs w:val="24"/>
        </w:rPr>
        <w:t xml:space="preserve"> </w:t>
      </w:r>
      <w:r w:rsidR="000B0A44" w:rsidRPr="006F363D">
        <w:rPr>
          <w:rFonts w:ascii="Arial" w:hAnsi="Arial" w:cs="Arial"/>
          <w:sz w:val="24"/>
          <w:szCs w:val="24"/>
        </w:rPr>
        <w:t>2011</w:t>
      </w:r>
      <w:proofErr w:type="gramStart"/>
      <w:r w:rsidR="000B0A44" w:rsidRPr="006F363D">
        <w:rPr>
          <w:rFonts w:ascii="Arial" w:hAnsi="Arial" w:cs="Arial"/>
          <w:sz w:val="24"/>
          <w:szCs w:val="24"/>
        </w:rPr>
        <w:t>;</w:t>
      </w:r>
      <w:r w:rsidR="000B0A44" w:rsidRPr="006F363D">
        <w:rPr>
          <w:rFonts w:ascii="Arial" w:hAnsi="Arial" w:cs="Arial"/>
          <w:b/>
          <w:sz w:val="24"/>
          <w:szCs w:val="24"/>
        </w:rPr>
        <w:t>55</w:t>
      </w:r>
      <w:r w:rsidR="000B0A44" w:rsidRPr="006F363D">
        <w:rPr>
          <w:rFonts w:ascii="Arial" w:hAnsi="Arial" w:cs="Arial"/>
          <w:sz w:val="24"/>
          <w:szCs w:val="24"/>
        </w:rPr>
        <w:t>:2999</w:t>
      </w:r>
      <w:proofErr w:type="gramEnd"/>
      <w:r w:rsidR="000B0A44" w:rsidRPr="006F363D">
        <w:rPr>
          <w:rFonts w:ascii="Arial" w:hAnsi="Arial" w:cs="Arial"/>
          <w:sz w:val="24"/>
          <w:szCs w:val="24"/>
        </w:rPr>
        <w:t xml:space="preserve">–3001.  </w:t>
      </w:r>
      <w:r w:rsidR="00DA6EAC" w:rsidRPr="000B0A44">
        <w:rPr>
          <w:rFonts w:ascii="Arial" w:hAnsi="Arial" w:cs="Arial"/>
          <w:sz w:val="24"/>
          <w:szCs w:val="24"/>
        </w:rPr>
        <w:t xml:space="preserve"> </w:t>
      </w:r>
      <w:r w:rsidR="00F776B6">
        <w:rPr>
          <w:rFonts w:ascii="Arial" w:hAnsi="Arial" w:cs="Arial"/>
          <w:color w:val="4F81BD" w:themeColor="accent1"/>
          <w:sz w:val="24"/>
          <w:szCs w:val="24"/>
        </w:rPr>
        <w:fldChar w:fldCharType="begin"/>
      </w:r>
      <w:r w:rsidR="00F776B6">
        <w:rPr>
          <w:rFonts w:ascii="Arial" w:hAnsi="Arial" w:cs="Arial"/>
          <w:color w:val="4F81BD" w:themeColor="accent1"/>
          <w:sz w:val="24"/>
          <w:szCs w:val="24"/>
        </w:rPr>
        <w:instrText xml:space="preserve"> HYPERLINK "</w:instrText>
      </w:r>
      <w:r w:rsidR="00F776B6" w:rsidRPr="005F334F">
        <w:rPr>
          <w:rFonts w:ascii="Arial" w:hAnsi="Arial" w:cs="Arial"/>
          <w:color w:val="4F81BD" w:themeColor="accent1"/>
          <w:sz w:val="24"/>
          <w:szCs w:val="24"/>
        </w:rPr>
        <w:instrText>http://www.ncbi.nlm.nih.gov/pubmed/21402848</w:instrText>
      </w:r>
      <w:r w:rsidR="00F776B6">
        <w:rPr>
          <w:rFonts w:ascii="Arial" w:hAnsi="Arial" w:cs="Arial"/>
          <w:color w:val="4F81BD" w:themeColor="accent1"/>
          <w:sz w:val="24"/>
          <w:szCs w:val="24"/>
        </w:rPr>
        <w:instrText xml:space="preserve">" </w:instrText>
      </w:r>
      <w:r w:rsidR="00F776B6">
        <w:rPr>
          <w:rFonts w:ascii="Arial" w:hAnsi="Arial" w:cs="Arial"/>
          <w:color w:val="4F81BD" w:themeColor="accent1"/>
          <w:sz w:val="24"/>
          <w:szCs w:val="24"/>
        </w:rPr>
        <w:fldChar w:fldCharType="separate"/>
      </w:r>
      <w:r w:rsidR="00F776B6" w:rsidRPr="00F24717">
        <w:rPr>
          <w:rStyle w:val="Hyperlink"/>
          <w:rFonts w:ascii="Arial" w:hAnsi="Arial" w:cs="Arial"/>
          <w:sz w:val="24"/>
          <w:szCs w:val="24"/>
        </w:rPr>
        <w:t>http://www.ncbi.nlm.nih.gov/pubmed/21402848</w:t>
      </w:r>
      <w:r w:rsidR="00F776B6">
        <w:rPr>
          <w:rFonts w:ascii="Arial" w:hAnsi="Arial" w:cs="Arial"/>
          <w:color w:val="4F81BD" w:themeColor="accent1"/>
          <w:sz w:val="24"/>
          <w:szCs w:val="24"/>
        </w:rPr>
        <w:fldChar w:fldCharType="end"/>
      </w:r>
      <w:r w:rsidR="00F776B6">
        <w:rPr>
          <w:rFonts w:ascii="Arial" w:hAnsi="Arial" w:cs="Arial"/>
          <w:color w:val="4F81BD" w:themeColor="accent1"/>
          <w:sz w:val="24"/>
          <w:szCs w:val="24"/>
        </w:rPr>
        <w:t xml:space="preserve"> </w:t>
      </w:r>
      <w:r w:rsidR="00DA6EAC" w:rsidRPr="000B0A44">
        <w:rPr>
          <w:rFonts w:ascii="Arial" w:hAnsi="Arial" w:cs="Arial"/>
          <w:sz w:val="24"/>
          <w:szCs w:val="24"/>
        </w:rPr>
        <w:t xml:space="preserve">                      </w:t>
      </w:r>
    </w:p>
    <w:p w:rsidR="002D368A" w:rsidRPr="005F334F" w:rsidRDefault="002D368A" w:rsidP="00B34EC9">
      <w:pPr>
        <w:numPr>
          <w:ilvl w:val="0"/>
          <w:numId w:val="2"/>
        </w:numPr>
        <w:shd w:val="clear" w:color="auto" w:fill="FFFFFF"/>
        <w:autoSpaceDE w:val="0"/>
        <w:autoSpaceDN w:val="0"/>
        <w:adjustRightInd w:val="0"/>
        <w:spacing w:after="0" w:line="480" w:lineRule="auto"/>
        <w:rPr>
          <w:rFonts w:ascii="Arial" w:eastAsia="Times New Roman" w:hAnsi="Arial" w:cs="Arial"/>
          <w:bCs/>
          <w:color w:val="4F81BD" w:themeColor="accent1"/>
          <w:sz w:val="24"/>
          <w:szCs w:val="24"/>
        </w:rPr>
      </w:pPr>
      <w:proofErr w:type="spellStart"/>
      <w:r w:rsidRPr="009551E2">
        <w:rPr>
          <w:rFonts w:ascii="Arial" w:eastAsia="Times New Roman" w:hAnsi="Arial" w:cs="Arial"/>
          <w:color w:val="000000"/>
          <w:sz w:val="24"/>
          <w:szCs w:val="24"/>
        </w:rPr>
        <w:t>Ooi</w:t>
      </w:r>
      <w:proofErr w:type="spellEnd"/>
      <w:r w:rsidRPr="009551E2">
        <w:rPr>
          <w:rFonts w:ascii="Arial" w:eastAsia="Times New Roman" w:hAnsi="Arial" w:cs="Arial"/>
          <w:color w:val="000000"/>
          <w:sz w:val="24"/>
          <w:szCs w:val="24"/>
        </w:rPr>
        <w:t xml:space="preserve"> ST, Lim SC, Chen YM, </w:t>
      </w:r>
      <w:proofErr w:type="spellStart"/>
      <w:r w:rsidRPr="009551E2">
        <w:rPr>
          <w:rFonts w:ascii="Arial" w:eastAsia="Times New Roman" w:hAnsi="Arial" w:cs="Arial"/>
          <w:color w:val="000000"/>
          <w:sz w:val="24"/>
          <w:szCs w:val="24"/>
        </w:rPr>
        <w:t>Chng</w:t>
      </w:r>
      <w:proofErr w:type="spellEnd"/>
      <w:r w:rsidRPr="009551E2">
        <w:rPr>
          <w:rFonts w:ascii="Arial" w:eastAsia="Times New Roman" w:hAnsi="Arial" w:cs="Arial"/>
          <w:color w:val="000000"/>
          <w:sz w:val="24"/>
          <w:szCs w:val="24"/>
        </w:rPr>
        <w:t xml:space="preserve"> FLC, Willis GC. </w:t>
      </w:r>
      <w:r w:rsidRPr="009551E2">
        <w:rPr>
          <w:rFonts w:ascii="Arial" w:eastAsia="Times New Roman" w:hAnsi="Arial" w:cs="Arial"/>
          <w:bCs/>
          <w:color w:val="000000"/>
          <w:sz w:val="24"/>
          <w:szCs w:val="24"/>
        </w:rPr>
        <w:t xml:space="preserve">Clinical predictors of methicillin-resistant </w:t>
      </w:r>
      <w:r w:rsidR="00DA6EAC">
        <w:rPr>
          <w:rFonts w:ascii="Arial" w:eastAsia="Times New Roman" w:hAnsi="Arial" w:cs="Arial"/>
          <w:bCs/>
          <w:i/>
          <w:color w:val="000000"/>
          <w:sz w:val="24"/>
          <w:szCs w:val="24"/>
        </w:rPr>
        <w:t>S</w:t>
      </w:r>
      <w:r w:rsidRPr="005F334F">
        <w:rPr>
          <w:rFonts w:ascii="Arial" w:eastAsia="Times New Roman" w:hAnsi="Arial" w:cs="Arial"/>
          <w:bCs/>
          <w:i/>
          <w:color w:val="000000"/>
          <w:sz w:val="24"/>
          <w:szCs w:val="24"/>
        </w:rPr>
        <w:t xml:space="preserve">taphylococcus </w:t>
      </w:r>
      <w:proofErr w:type="spellStart"/>
      <w:r w:rsidRPr="005F334F">
        <w:rPr>
          <w:rFonts w:ascii="Arial" w:eastAsia="Times New Roman" w:hAnsi="Arial" w:cs="Arial"/>
          <w:bCs/>
          <w:i/>
          <w:color w:val="000000"/>
          <w:sz w:val="24"/>
          <w:szCs w:val="24"/>
        </w:rPr>
        <w:t>aureus</w:t>
      </w:r>
      <w:proofErr w:type="spellEnd"/>
      <w:r w:rsidRPr="009551E2">
        <w:rPr>
          <w:rFonts w:ascii="Arial" w:eastAsia="Times New Roman" w:hAnsi="Arial" w:cs="Arial"/>
          <w:bCs/>
          <w:color w:val="000000"/>
          <w:sz w:val="24"/>
          <w:szCs w:val="24"/>
        </w:rPr>
        <w:t xml:space="preserve"> colonization on admission. In: </w:t>
      </w:r>
      <w:r w:rsidRPr="005F334F">
        <w:rPr>
          <w:rFonts w:ascii="Arial" w:eastAsia="Times New Roman" w:hAnsi="Arial" w:cs="Arial"/>
          <w:bCs/>
          <w:i/>
          <w:sz w:val="24"/>
          <w:szCs w:val="24"/>
        </w:rPr>
        <w:t xml:space="preserve">Program and abstracts </w:t>
      </w:r>
      <w:proofErr w:type="gramStart"/>
      <w:r w:rsidRPr="005F334F">
        <w:rPr>
          <w:rFonts w:ascii="Arial" w:eastAsia="Times New Roman" w:hAnsi="Arial" w:cs="Arial"/>
          <w:bCs/>
          <w:i/>
          <w:sz w:val="24"/>
          <w:szCs w:val="24"/>
        </w:rPr>
        <w:t>of  the</w:t>
      </w:r>
      <w:proofErr w:type="gramEnd"/>
      <w:r w:rsidRPr="005F334F">
        <w:rPr>
          <w:rFonts w:ascii="Arial" w:eastAsia="Times New Roman" w:hAnsi="Arial" w:cs="Arial"/>
          <w:bCs/>
          <w:i/>
          <w:sz w:val="24"/>
          <w:szCs w:val="24"/>
        </w:rPr>
        <w:t xml:space="preserve"> 49</w:t>
      </w:r>
      <w:r w:rsidRPr="005F334F">
        <w:rPr>
          <w:rFonts w:ascii="Arial" w:eastAsia="Times New Roman" w:hAnsi="Arial" w:cs="Arial"/>
          <w:bCs/>
          <w:i/>
          <w:sz w:val="24"/>
          <w:szCs w:val="24"/>
          <w:vertAlign w:val="superscript"/>
        </w:rPr>
        <w:t>th</w:t>
      </w:r>
      <w:r w:rsidRPr="005F334F">
        <w:rPr>
          <w:rFonts w:ascii="Arial" w:eastAsia="Times New Roman" w:hAnsi="Arial" w:cs="Arial"/>
          <w:bCs/>
          <w:i/>
          <w:sz w:val="24"/>
          <w:szCs w:val="24"/>
        </w:rPr>
        <w:t xml:space="preserve"> annual meeting of the Infectious Diseases Society of America (IDSA) 2011; October 20-23, 2011; Boston, MA. Abstract 551</w:t>
      </w:r>
      <w:r w:rsidR="00B34EC9" w:rsidRPr="00B34EC9">
        <w:t xml:space="preserve"> </w:t>
      </w:r>
      <w:hyperlink r:id="rId25" w:history="1">
        <w:r w:rsidR="00F776B6" w:rsidRPr="00F24717">
          <w:rPr>
            <w:rStyle w:val="Hyperlink"/>
            <w:rFonts w:ascii="Arial" w:eastAsia="Times New Roman" w:hAnsi="Arial" w:cs="Arial"/>
            <w:bCs/>
            <w:sz w:val="24"/>
            <w:szCs w:val="24"/>
          </w:rPr>
          <w:t>https://idsa.confex.com/idsa/2011/webprogram/Paper31331.html</w:t>
        </w:r>
      </w:hyperlink>
      <w:r w:rsidR="00F776B6">
        <w:rPr>
          <w:rFonts w:ascii="Arial" w:eastAsia="Times New Roman" w:hAnsi="Arial" w:cs="Arial"/>
          <w:bCs/>
          <w:color w:val="4F81BD" w:themeColor="accent1"/>
          <w:sz w:val="24"/>
          <w:szCs w:val="24"/>
        </w:rPr>
        <w:t xml:space="preserve"> </w:t>
      </w:r>
      <w:bookmarkStart w:id="0" w:name="_GoBack"/>
      <w:bookmarkEnd w:id="0"/>
    </w:p>
    <w:p w:rsidR="002D368A" w:rsidRPr="00780941" w:rsidRDefault="002D368A" w:rsidP="002D368A">
      <w:pPr>
        <w:spacing w:line="480" w:lineRule="auto"/>
        <w:rPr>
          <w:rFonts w:ascii="Times New Roman" w:hAnsi="Times New Roman"/>
          <w:sz w:val="24"/>
          <w:szCs w:val="24"/>
        </w:rPr>
      </w:pPr>
    </w:p>
    <w:p w:rsidR="002D368A" w:rsidRDefault="002D368A" w:rsidP="002D368A">
      <w:pPr>
        <w:spacing w:line="480" w:lineRule="auto"/>
        <w:rPr>
          <w:rFonts w:ascii="Times New Roman" w:hAnsi="Times New Roman"/>
          <w:sz w:val="24"/>
          <w:szCs w:val="24"/>
        </w:rPr>
      </w:pPr>
    </w:p>
    <w:p w:rsidR="0077184E" w:rsidRDefault="0077184E" w:rsidP="002D368A">
      <w:pPr>
        <w:spacing w:line="480" w:lineRule="auto"/>
        <w:rPr>
          <w:rFonts w:ascii="Times New Roman" w:hAnsi="Times New Roman"/>
          <w:sz w:val="24"/>
          <w:szCs w:val="24"/>
        </w:rPr>
      </w:pPr>
    </w:p>
    <w:p w:rsidR="0077184E" w:rsidRDefault="0077184E" w:rsidP="002D368A">
      <w:pPr>
        <w:spacing w:line="480" w:lineRule="auto"/>
        <w:rPr>
          <w:rFonts w:ascii="Times New Roman" w:hAnsi="Times New Roman"/>
          <w:sz w:val="24"/>
          <w:szCs w:val="24"/>
        </w:rPr>
      </w:pPr>
    </w:p>
    <w:p w:rsidR="0077184E" w:rsidRDefault="0077184E" w:rsidP="002D368A">
      <w:pPr>
        <w:spacing w:line="480" w:lineRule="auto"/>
        <w:rPr>
          <w:rFonts w:ascii="Times New Roman" w:hAnsi="Times New Roman"/>
          <w:sz w:val="24"/>
          <w:szCs w:val="24"/>
        </w:rPr>
      </w:pPr>
    </w:p>
    <w:p w:rsidR="003C4593" w:rsidRDefault="003C4593" w:rsidP="002D368A">
      <w:pPr>
        <w:spacing w:line="480" w:lineRule="auto"/>
        <w:rPr>
          <w:rFonts w:ascii="Times New Roman" w:hAnsi="Times New Roman"/>
          <w:sz w:val="24"/>
          <w:szCs w:val="24"/>
        </w:rPr>
      </w:pPr>
    </w:p>
    <w:p w:rsidR="003C4593" w:rsidRDefault="003C4593" w:rsidP="002D368A">
      <w:pPr>
        <w:spacing w:line="480" w:lineRule="auto"/>
        <w:rPr>
          <w:rFonts w:ascii="Times New Roman" w:hAnsi="Times New Roman"/>
          <w:sz w:val="24"/>
          <w:szCs w:val="24"/>
        </w:rPr>
      </w:pPr>
    </w:p>
    <w:p w:rsidR="003C4593" w:rsidRDefault="003C4593" w:rsidP="002D368A">
      <w:pPr>
        <w:spacing w:line="480" w:lineRule="auto"/>
        <w:rPr>
          <w:rFonts w:ascii="Times New Roman" w:hAnsi="Times New Roman"/>
          <w:sz w:val="24"/>
          <w:szCs w:val="24"/>
        </w:rPr>
      </w:pPr>
    </w:p>
    <w:p w:rsidR="003C4593" w:rsidRDefault="003C4593" w:rsidP="002D368A">
      <w:pPr>
        <w:spacing w:line="480" w:lineRule="auto"/>
        <w:rPr>
          <w:rFonts w:ascii="Times New Roman" w:hAnsi="Times New Roman"/>
          <w:sz w:val="24"/>
          <w:szCs w:val="24"/>
        </w:rPr>
      </w:pPr>
    </w:p>
    <w:p w:rsidR="003C4593" w:rsidRDefault="003C4593" w:rsidP="002D368A">
      <w:pPr>
        <w:spacing w:line="480" w:lineRule="auto"/>
        <w:rPr>
          <w:rFonts w:ascii="Times New Roman" w:hAnsi="Times New Roman"/>
          <w:sz w:val="24"/>
          <w:szCs w:val="24"/>
        </w:rPr>
      </w:pPr>
    </w:p>
    <w:p w:rsidR="003C4593" w:rsidRDefault="003C4593" w:rsidP="002D368A">
      <w:pPr>
        <w:spacing w:line="480" w:lineRule="auto"/>
        <w:rPr>
          <w:rFonts w:ascii="Times New Roman" w:hAnsi="Times New Roman"/>
          <w:sz w:val="24"/>
          <w:szCs w:val="24"/>
        </w:rPr>
      </w:pPr>
    </w:p>
    <w:p w:rsidR="0077184E" w:rsidRPr="00615712" w:rsidRDefault="00AF77D7" w:rsidP="0077184E">
      <w:pPr>
        <w:spacing w:line="480" w:lineRule="auto"/>
        <w:jc w:val="center"/>
        <w:rPr>
          <w:rFonts w:ascii="Arial" w:hAnsi="Arial" w:cs="Arial"/>
          <w:b/>
        </w:rPr>
      </w:pPr>
      <w:r w:rsidRPr="00615712">
        <w:rPr>
          <w:rFonts w:ascii="Arial" w:hAnsi="Arial" w:cs="Arial"/>
          <w:b/>
        </w:rPr>
        <w:lastRenderedPageBreak/>
        <w:t>Table I</w:t>
      </w:r>
    </w:p>
    <w:tbl>
      <w:tblPr>
        <w:tblW w:w="10622" w:type="dxa"/>
        <w:tblInd w:w="-522" w:type="dxa"/>
        <w:tblBorders>
          <w:top w:val="single" w:sz="8" w:space="0" w:color="000000"/>
          <w:bottom w:val="single" w:sz="8" w:space="0" w:color="000000"/>
        </w:tblBorders>
        <w:tblLayout w:type="fixed"/>
        <w:tblLook w:val="04A0" w:firstRow="1" w:lastRow="0" w:firstColumn="1" w:lastColumn="0" w:noHBand="0" w:noVBand="1"/>
      </w:tblPr>
      <w:tblGrid>
        <w:gridCol w:w="828"/>
        <w:gridCol w:w="1260"/>
        <w:gridCol w:w="1312"/>
        <w:gridCol w:w="2018"/>
        <w:gridCol w:w="1872"/>
        <w:gridCol w:w="3332"/>
      </w:tblGrid>
      <w:tr w:rsidR="0077184E" w:rsidRPr="00615712" w:rsidTr="009520B1">
        <w:trPr>
          <w:trHeight w:val="1528"/>
        </w:trPr>
        <w:tc>
          <w:tcPr>
            <w:tcW w:w="828" w:type="dxa"/>
            <w:tcBorders>
              <w:top w:val="single" w:sz="8" w:space="0" w:color="000000"/>
              <w:left w:val="nil"/>
              <w:bottom w:val="single" w:sz="8" w:space="0" w:color="000000"/>
              <w:right w:val="nil"/>
            </w:tcBorders>
          </w:tcPr>
          <w:p w:rsidR="0077184E" w:rsidRPr="00615712" w:rsidRDefault="0077184E" w:rsidP="009520B1">
            <w:pPr>
              <w:spacing w:after="0" w:line="480" w:lineRule="auto"/>
              <w:rPr>
                <w:rFonts w:ascii="Arial" w:hAnsi="Arial" w:cs="Arial"/>
                <w:b/>
                <w:bCs/>
                <w:color w:val="000000"/>
              </w:rPr>
            </w:pPr>
            <w:r w:rsidRPr="00615712">
              <w:rPr>
                <w:rFonts w:ascii="Arial" w:hAnsi="Arial" w:cs="Arial"/>
                <w:b/>
                <w:bCs/>
                <w:color w:val="000000"/>
              </w:rPr>
              <w:t>Year</w:t>
            </w:r>
          </w:p>
        </w:tc>
        <w:tc>
          <w:tcPr>
            <w:tcW w:w="1260" w:type="dxa"/>
            <w:tcBorders>
              <w:top w:val="single" w:sz="8" w:space="0" w:color="000000"/>
              <w:left w:val="nil"/>
              <w:bottom w:val="single" w:sz="8" w:space="0" w:color="000000"/>
              <w:right w:val="nil"/>
            </w:tcBorders>
          </w:tcPr>
          <w:p w:rsidR="0077184E" w:rsidRPr="00615712" w:rsidRDefault="0077184E" w:rsidP="009520B1">
            <w:pPr>
              <w:spacing w:after="0" w:line="240" w:lineRule="auto"/>
              <w:rPr>
                <w:rFonts w:ascii="Arial" w:hAnsi="Arial" w:cs="Arial"/>
                <w:b/>
                <w:bCs/>
                <w:color w:val="000000"/>
              </w:rPr>
            </w:pPr>
            <w:r w:rsidRPr="00615712">
              <w:rPr>
                <w:rFonts w:ascii="Arial" w:hAnsi="Arial" w:cs="Arial"/>
                <w:b/>
                <w:bCs/>
                <w:color w:val="000000"/>
              </w:rPr>
              <w:t>Total Cases</w:t>
            </w:r>
          </w:p>
          <w:p w:rsidR="0077184E" w:rsidRPr="00615712" w:rsidRDefault="0077184E" w:rsidP="009520B1">
            <w:pPr>
              <w:spacing w:after="0" w:line="480" w:lineRule="auto"/>
              <w:rPr>
                <w:rFonts w:ascii="Arial" w:hAnsi="Arial" w:cs="Arial"/>
                <w:b/>
                <w:bCs/>
                <w:color w:val="000000"/>
              </w:rPr>
            </w:pPr>
            <w:r w:rsidRPr="00615712">
              <w:rPr>
                <w:rFonts w:ascii="Arial" w:hAnsi="Arial" w:cs="Arial"/>
                <w:b/>
                <w:bCs/>
                <w:color w:val="000000"/>
              </w:rPr>
              <w:t>Admitted</w:t>
            </w:r>
          </w:p>
        </w:tc>
        <w:tc>
          <w:tcPr>
            <w:tcW w:w="1312" w:type="dxa"/>
            <w:tcBorders>
              <w:top w:val="single" w:sz="8" w:space="0" w:color="000000"/>
              <w:left w:val="nil"/>
              <w:bottom w:val="single" w:sz="8" w:space="0" w:color="000000"/>
              <w:right w:val="nil"/>
            </w:tcBorders>
          </w:tcPr>
          <w:p w:rsidR="0077184E" w:rsidRPr="00615712" w:rsidRDefault="0077184E" w:rsidP="009520B1">
            <w:pPr>
              <w:spacing w:after="0" w:line="240" w:lineRule="auto"/>
              <w:rPr>
                <w:rFonts w:ascii="Arial" w:hAnsi="Arial" w:cs="Arial"/>
                <w:b/>
                <w:bCs/>
                <w:color w:val="000000"/>
              </w:rPr>
            </w:pPr>
            <w:r w:rsidRPr="00615712">
              <w:rPr>
                <w:rFonts w:ascii="Arial" w:hAnsi="Arial" w:cs="Arial"/>
                <w:b/>
                <w:bCs/>
                <w:color w:val="000000"/>
              </w:rPr>
              <w:t>Total Cases</w:t>
            </w:r>
          </w:p>
          <w:p w:rsidR="0077184E" w:rsidRPr="00615712" w:rsidRDefault="0077184E" w:rsidP="009520B1">
            <w:pPr>
              <w:spacing w:after="0" w:line="480" w:lineRule="auto"/>
              <w:rPr>
                <w:rFonts w:ascii="Arial" w:hAnsi="Arial" w:cs="Arial"/>
                <w:b/>
                <w:bCs/>
                <w:color w:val="000000"/>
              </w:rPr>
            </w:pPr>
            <w:r w:rsidRPr="00615712">
              <w:rPr>
                <w:rFonts w:ascii="Arial" w:hAnsi="Arial" w:cs="Arial"/>
                <w:b/>
                <w:bCs/>
                <w:color w:val="000000"/>
              </w:rPr>
              <w:t xml:space="preserve">Screened </w:t>
            </w:r>
          </w:p>
        </w:tc>
        <w:tc>
          <w:tcPr>
            <w:tcW w:w="2018" w:type="dxa"/>
            <w:tcBorders>
              <w:top w:val="single" w:sz="8" w:space="0" w:color="000000"/>
              <w:left w:val="nil"/>
              <w:bottom w:val="single" w:sz="8" w:space="0" w:color="000000"/>
              <w:right w:val="nil"/>
            </w:tcBorders>
          </w:tcPr>
          <w:p w:rsidR="0077184E" w:rsidRPr="00615712" w:rsidRDefault="0077184E" w:rsidP="009520B1">
            <w:pPr>
              <w:spacing w:after="0" w:line="360" w:lineRule="auto"/>
              <w:rPr>
                <w:rFonts w:ascii="Arial" w:hAnsi="Arial" w:cs="Arial"/>
                <w:b/>
                <w:bCs/>
                <w:color w:val="000000"/>
              </w:rPr>
            </w:pPr>
            <w:r w:rsidRPr="00615712">
              <w:rPr>
                <w:rFonts w:ascii="Arial" w:hAnsi="Arial" w:cs="Arial"/>
                <w:b/>
                <w:bCs/>
                <w:color w:val="000000"/>
              </w:rPr>
              <w:t xml:space="preserve">     Total Cases</w:t>
            </w:r>
          </w:p>
          <w:p w:rsidR="0077184E" w:rsidRPr="00615712" w:rsidRDefault="0077184E" w:rsidP="009520B1">
            <w:pPr>
              <w:spacing w:after="0" w:line="480" w:lineRule="auto"/>
              <w:rPr>
                <w:rFonts w:ascii="Arial" w:hAnsi="Arial" w:cs="Arial"/>
                <w:b/>
                <w:bCs/>
                <w:color w:val="000000"/>
              </w:rPr>
            </w:pPr>
            <w:r w:rsidRPr="00615712">
              <w:rPr>
                <w:rFonts w:ascii="Arial" w:hAnsi="Arial" w:cs="Arial"/>
                <w:b/>
                <w:bCs/>
                <w:color w:val="000000"/>
              </w:rPr>
              <w:t xml:space="preserve">MRSA+  MRSA– </w:t>
            </w:r>
          </w:p>
        </w:tc>
        <w:tc>
          <w:tcPr>
            <w:tcW w:w="1872" w:type="dxa"/>
            <w:tcBorders>
              <w:top w:val="single" w:sz="8" w:space="0" w:color="000000"/>
              <w:left w:val="nil"/>
              <w:bottom w:val="single" w:sz="8" w:space="0" w:color="000000"/>
              <w:right w:val="nil"/>
            </w:tcBorders>
          </w:tcPr>
          <w:p w:rsidR="0077184E" w:rsidRPr="00615712" w:rsidRDefault="0077184E" w:rsidP="009520B1">
            <w:pPr>
              <w:spacing w:after="0" w:line="240" w:lineRule="auto"/>
              <w:rPr>
                <w:rFonts w:ascii="Arial" w:hAnsi="Arial" w:cs="Arial"/>
                <w:b/>
                <w:bCs/>
                <w:color w:val="000000"/>
              </w:rPr>
            </w:pPr>
            <w:r w:rsidRPr="00615712">
              <w:rPr>
                <w:rFonts w:ascii="Arial" w:hAnsi="Arial" w:cs="Arial"/>
                <w:b/>
                <w:bCs/>
                <w:color w:val="000000"/>
              </w:rPr>
              <w:t xml:space="preserve">   Total not</w:t>
            </w:r>
          </w:p>
          <w:p w:rsidR="0077184E" w:rsidRPr="00615712" w:rsidRDefault="0077184E" w:rsidP="009520B1">
            <w:pPr>
              <w:spacing w:after="0" w:line="480" w:lineRule="auto"/>
              <w:ind w:left="234" w:hanging="234"/>
              <w:rPr>
                <w:rFonts w:ascii="Arial" w:hAnsi="Arial" w:cs="Arial"/>
                <w:b/>
                <w:bCs/>
                <w:color w:val="000000"/>
              </w:rPr>
            </w:pPr>
            <w:r w:rsidRPr="00615712">
              <w:rPr>
                <w:rFonts w:ascii="Arial" w:hAnsi="Arial" w:cs="Arial"/>
                <w:b/>
                <w:bCs/>
                <w:color w:val="000000"/>
              </w:rPr>
              <w:t xml:space="preserve">   screened </w:t>
            </w:r>
          </w:p>
        </w:tc>
        <w:tc>
          <w:tcPr>
            <w:tcW w:w="3332" w:type="dxa"/>
            <w:tcBorders>
              <w:top w:val="single" w:sz="8" w:space="0" w:color="000000"/>
              <w:left w:val="nil"/>
              <w:bottom w:val="single" w:sz="8" w:space="0" w:color="000000"/>
              <w:right w:val="nil"/>
            </w:tcBorders>
          </w:tcPr>
          <w:p w:rsidR="0077184E" w:rsidRPr="00615712" w:rsidRDefault="0077184E" w:rsidP="009520B1">
            <w:pPr>
              <w:spacing w:after="0" w:line="240" w:lineRule="auto"/>
              <w:rPr>
                <w:rFonts w:ascii="Arial" w:hAnsi="Arial" w:cs="Arial"/>
                <w:b/>
                <w:bCs/>
                <w:color w:val="000000"/>
              </w:rPr>
            </w:pPr>
            <w:r w:rsidRPr="00615712">
              <w:rPr>
                <w:rFonts w:ascii="Arial" w:hAnsi="Arial" w:cs="Arial"/>
                <w:b/>
                <w:bCs/>
                <w:color w:val="000000"/>
              </w:rPr>
              <w:t xml:space="preserve">Total Cases progressing to HA-MRSA Infection based </w:t>
            </w:r>
          </w:p>
          <w:p w:rsidR="0077184E" w:rsidRPr="00615712" w:rsidRDefault="0077184E" w:rsidP="009520B1">
            <w:pPr>
              <w:spacing w:after="0" w:line="240" w:lineRule="auto"/>
              <w:rPr>
                <w:rFonts w:ascii="Arial" w:hAnsi="Arial" w:cs="Arial"/>
                <w:b/>
                <w:bCs/>
                <w:color w:val="000000"/>
              </w:rPr>
            </w:pPr>
            <w:r w:rsidRPr="00615712">
              <w:rPr>
                <w:rFonts w:ascii="Arial" w:hAnsi="Arial" w:cs="Arial"/>
                <w:b/>
                <w:bCs/>
                <w:color w:val="000000"/>
              </w:rPr>
              <w:t>on initial screen result</w:t>
            </w:r>
          </w:p>
          <w:p w:rsidR="0077184E" w:rsidRPr="00615712" w:rsidRDefault="0077184E" w:rsidP="009520B1">
            <w:pPr>
              <w:spacing w:after="0" w:line="240" w:lineRule="auto"/>
              <w:rPr>
                <w:rFonts w:ascii="Arial" w:hAnsi="Arial" w:cs="Arial"/>
                <w:b/>
                <w:bCs/>
                <w:color w:val="000000"/>
              </w:rPr>
            </w:pPr>
            <w:r w:rsidRPr="00615712">
              <w:rPr>
                <w:rFonts w:ascii="Arial" w:hAnsi="Arial" w:cs="Arial"/>
                <w:b/>
                <w:bCs/>
                <w:color w:val="000000"/>
              </w:rPr>
              <w:t>MRSA +        MRSA –</w:t>
            </w:r>
            <w:r w:rsidRPr="00615712">
              <w:rPr>
                <w:rFonts w:ascii="Arial" w:hAnsi="Arial" w:cs="Arial"/>
                <w:b/>
                <w:bCs/>
                <w:color w:val="000000"/>
                <w:bdr w:val="single" w:sz="4" w:space="0" w:color="auto"/>
              </w:rPr>
              <w:t xml:space="preserve"> </w:t>
            </w:r>
            <w:r w:rsidRPr="00615712">
              <w:rPr>
                <w:rFonts w:ascii="Arial" w:hAnsi="Arial" w:cs="Arial"/>
                <w:b/>
                <w:bCs/>
                <w:color w:val="000000"/>
              </w:rPr>
              <w:t xml:space="preserve">                           </w:t>
            </w:r>
          </w:p>
        </w:tc>
      </w:tr>
      <w:tr w:rsidR="0077184E" w:rsidRPr="00615712" w:rsidTr="009520B1">
        <w:trPr>
          <w:trHeight w:val="907"/>
        </w:trPr>
        <w:tc>
          <w:tcPr>
            <w:tcW w:w="828" w:type="dxa"/>
            <w:tcBorders>
              <w:left w:val="nil"/>
              <w:right w:val="nil"/>
            </w:tcBorders>
            <w:shd w:val="clear" w:color="auto" w:fill="C0C0C0"/>
          </w:tcPr>
          <w:p w:rsidR="0077184E" w:rsidRPr="00615712" w:rsidRDefault="0077184E" w:rsidP="009520B1">
            <w:pPr>
              <w:spacing w:line="480" w:lineRule="auto"/>
              <w:rPr>
                <w:rFonts w:ascii="Arial" w:hAnsi="Arial" w:cs="Arial"/>
                <w:b/>
                <w:bCs/>
                <w:color w:val="000000"/>
              </w:rPr>
            </w:pPr>
            <w:r w:rsidRPr="00615712">
              <w:rPr>
                <w:rFonts w:ascii="Arial" w:hAnsi="Arial" w:cs="Arial"/>
                <w:b/>
                <w:bCs/>
                <w:color w:val="000000"/>
              </w:rPr>
              <w:t>2011</w:t>
            </w:r>
          </w:p>
        </w:tc>
        <w:tc>
          <w:tcPr>
            <w:tcW w:w="1260" w:type="dxa"/>
            <w:tcBorders>
              <w:left w:val="nil"/>
              <w:right w:val="nil"/>
            </w:tcBorders>
            <w:shd w:val="clear" w:color="auto" w:fill="C0C0C0"/>
          </w:tcPr>
          <w:p w:rsidR="0077184E" w:rsidRPr="00615712" w:rsidRDefault="0077184E" w:rsidP="009520B1">
            <w:pPr>
              <w:spacing w:line="480" w:lineRule="auto"/>
              <w:rPr>
                <w:rFonts w:ascii="Arial" w:hAnsi="Arial" w:cs="Arial"/>
                <w:color w:val="000000"/>
              </w:rPr>
            </w:pPr>
            <w:r w:rsidRPr="00615712">
              <w:rPr>
                <w:rFonts w:ascii="Arial" w:hAnsi="Arial" w:cs="Arial"/>
                <w:color w:val="000000"/>
              </w:rPr>
              <w:t>26,169</w:t>
            </w:r>
          </w:p>
        </w:tc>
        <w:tc>
          <w:tcPr>
            <w:tcW w:w="1312" w:type="dxa"/>
            <w:tcBorders>
              <w:left w:val="nil"/>
              <w:right w:val="nil"/>
            </w:tcBorders>
            <w:shd w:val="clear" w:color="auto" w:fill="C0C0C0"/>
          </w:tcPr>
          <w:p w:rsidR="0077184E" w:rsidRPr="00615712" w:rsidRDefault="0077184E" w:rsidP="009520B1">
            <w:pPr>
              <w:spacing w:line="360" w:lineRule="auto"/>
              <w:rPr>
                <w:rFonts w:ascii="Arial" w:hAnsi="Arial" w:cs="Arial"/>
                <w:color w:val="000000"/>
              </w:rPr>
            </w:pPr>
            <w:r w:rsidRPr="00615712">
              <w:rPr>
                <w:rFonts w:ascii="Arial" w:hAnsi="Arial" w:cs="Arial"/>
                <w:color w:val="000000"/>
              </w:rPr>
              <w:t>24,253 (92.7%)</w:t>
            </w:r>
          </w:p>
        </w:tc>
        <w:tc>
          <w:tcPr>
            <w:tcW w:w="2018" w:type="dxa"/>
            <w:tcBorders>
              <w:left w:val="nil"/>
              <w:right w:val="nil"/>
            </w:tcBorders>
            <w:shd w:val="clear" w:color="auto" w:fill="C0C0C0"/>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1594         22,659</w:t>
            </w:r>
          </w:p>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(6.57%)  (93.43%)</w:t>
            </w:r>
          </w:p>
        </w:tc>
        <w:tc>
          <w:tcPr>
            <w:tcW w:w="1872" w:type="dxa"/>
            <w:tcBorders>
              <w:left w:val="nil"/>
              <w:right w:val="nil"/>
            </w:tcBorders>
            <w:shd w:val="clear" w:color="auto" w:fill="C0C0C0"/>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 xml:space="preserve">      1916 </w:t>
            </w:r>
          </w:p>
          <w:p w:rsidR="0077184E" w:rsidRPr="00615712" w:rsidRDefault="0077184E" w:rsidP="009520B1">
            <w:pPr>
              <w:spacing w:line="480" w:lineRule="auto"/>
              <w:rPr>
                <w:rFonts w:ascii="Arial" w:hAnsi="Arial" w:cs="Arial"/>
                <w:color w:val="000000"/>
              </w:rPr>
            </w:pPr>
            <w:r w:rsidRPr="00615712">
              <w:rPr>
                <w:rFonts w:ascii="Arial" w:hAnsi="Arial" w:cs="Arial"/>
                <w:color w:val="000000"/>
              </w:rPr>
              <w:t xml:space="preserve">     (7.3%)</w:t>
            </w:r>
          </w:p>
        </w:tc>
        <w:tc>
          <w:tcPr>
            <w:tcW w:w="3332" w:type="dxa"/>
            <w:tcBorders>
              <w:left w:val="nil"/>
              <w:right w:val="nil"/>
            </w:tcBorders>
            <w:shd w:val="clear" w:color="auto" w:fill="C0C0C0"/>
          </w:tcPr>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 xml:space="preserve">        2                   9</w:t>
            </w:r>
          </w:p>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 xml:space="preserve">    </w:t>
            </w:r>
          </w:p>
        </w:tc>
      </w:tr>
      <w:tr w:rsidR="0077184E" w:rsidRPr="00615712" w:rsidTr="009520B1">
        <w:trPr>
          <w:trHeight w:val="1188"/>
        </w:trPr>
        <w:tc>
          <w:tcPr>
            <w:tcW w:w="828" w:type="dxa"/>
          </w:tcPr>
          <w:p w:rsidR="0077184E" w:rsidRPr="00615712" w:rsidRDefault="0077184E" w:rsidP="009520B1">
            <w:pPr>
              <w:spacing w:line="480" w:lineRule="auto"/>
              <w:rPr>
                <w:rFonts w:ascii="Arial" w:hAnsi="Arial" w:cs="Arial"/>
                <w:b/>
                <w:bCs/>
                <w:color w:val="000000"/>
              </w:rPr>
            </w:pPr>
            <w:r w:rsidRPr="00615712">
              <w:rPr>
                <w:rFonts w:ascii="Arial" w:hAnsi="Arial" w:cs="Arial"/>
                <w:b/>
                <w:bCs/>
                <w:color w:val="000000"/>
              </w:rPr>
              <w:t>2012</w:t>
            </w:r>
          </w:p>
        </w:tc>
        <w:tc>
          <w:tcPr>
            <w:tcW w:w="1260" w:type="dxa"/>
          </w:tcPr>
          <w:p w:rsidR="0077184E" w:rsidRPr="00615712" w:rsidRDefault="0077184E" w:rsidP="009520B1">
            <w:pPr>
              <w:spacing w:line="480" w:lineRule="auto"/>
              <w:rPr>
                <w:rFonts w:ascii="Arial" w:hAnsi="Arial" w:cs="Arial"/>
                <w:color w:val="000000"/>
              </w:rPr>
            </w:pPr>
            <w:r w:rsidRPr="00615712">
              <w:rPr>
                <w:rFonts w:ascii="Arial" w:hAnsi="Arial" w:cs="Arial"/>
                <w:color w:val="000000"/>
              </w:rPr>
              <w:t>26,920</w:t>
            </w:r>
          </w:p>
        </w:tc>
        <w:tc>
          <w:tcPr>
            <w:tcW w:w="1312" w:type="dxa"/>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 xml:space="preserve">22,074 </w:t>
            </w:r>
          </w:p>
          <w:p w:rsidR="0077184E" w:rsidRPr="00615712" w:rsidRDefault="0077184E" w:rsidP="009520B1">
            <w:pPr>
              <w:spacing w:line="480" w:lineRule="auto"/>
              <w:rPr>
                <w:rFonts w:ascii="Arial" w:hAnsi="Arial" w:cs="Arial"/>
                <w:color w:val="000000"/>
              </w:rPr>
            </w:pPr>
            <w:r w:rsidRPr="00615712">
              <w:rPr>
                <w:rFonts w:ascii="Arial" w:hAnsi="Arial" w:cs="Arial"/>
                <w:color w:val="000000"/>
              </w:rPr>
              <w:t>(82.0%)</w:t>
            </w:r>
          </w:p>
        </w:tc>
        <w:tc>
          <w:tcPr>
            <w:tcW w:w="2018" w:type="dxa"/>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1450        20,624</w:t>
            </w:r>
          </w:p>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(6.57%)  (93.43%)</w:t>
            </w:r>
          </w:p>
        </w:tc>
        <w:tc>
          <w:tcPr>
            <w:tcW w:w="1872" w:type="dxa"/>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 xml:space="preserve">      4847 </w:t>
            </w:r>
          </w:p>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 xml:space="preserve">    (18.0%)</w:t>
            </w:r>
          </w:p>
        </w:tc>
        <w:tc>
          <w:tcPr>
            <w:tcW w:w="3332" w:type="dxa"/>
          </w:tcPr>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 xml:space="preserve">        0                  14</w:t>
            </w:r>
          </w:p>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 xml:space="preserve"> </w:t>
            </w:r>
          </w:p>
        </w:tc>
      </w:tr>
      <w:tr w:rsidR="0077184E" w:rsidRPr="00615712" w:rsidTr="009520B1">
        <w:trPr>
          <w:trHeight w:val="1233"/>
        </w:trPr>
        <w:tc>
          <w:tcPr>
            <w:tcW w:w="828" w:type="dxa"/>
            <w:tcBorders>
              <w:left w:val="nil"/>
              <w:bottom w:val="nil"/>
              <w:right w:val="nil"/>
            </w:tcBorders>
            <w:shd w:val="clear" w:color="auto" w:fill="C0C0C0"/>
          </w:tcPr>
          <w:p w:rsidR="0077184E" w:rsidRPr="00615712" w:rsidRDefault="0077184E" w:rsidP="009520B1">
            <w:pPr>
              <w:spacing w:line="480" w:lineRule="auto"/>
              <w:rPr>
                <w:rFonts w:ascii="Arial" w:hAnsi="Arial" w:cs="Arial"/>
                <w:b/>
                <w:bCs/>
                <w:color w:val="000000"/>
              </w:rPr>
            </w:pPr>
            <w:r w:rsidRPr="00615712">
              <w:rPr>
                <w:rFonts w:ascii="Arial" w:hAnsi="Arial" w:cs="Arial"/>
                <w:b/>
                <w:color w:val="000000"/>
              </w:rPr>
              <w:t>2013</w:t>
            </w:r>
          </w:p>
        </w:tc>
        <w:tc>
          <w:tcPr>
            <w:tcW w:w="1260" w:type="dxa"/>
            <w:tcBorders>
              <w:left w:val="nil"/>
              <w:bottom w:val="nil"/>
              <w:right w:val="nil"/>
            </w:tcBorders>
            <w:shd w:val="clear" w:color="auto" w:fill="C0C0C0"/>
          </w:tcPr>
          <w:p w:rsidR="0077184E" w:rsidRPr="00615712" w:rsidRDefault="0077184E" w:rsidP="009520B1">
            <w:pPr>
              <w:spacing w:line="480" w:lineRule="auto"/>
              <w:rPr>
                <w:rFonts w:ascii="Arial" w:hAnsi="Arial" w:cs="Arial"/>
                <w:color w:val="000000"/>
              </w:rPr>
            </w:pPr>
            <w:r w:rsidRPr="00615712">
              <w:rPr>
                <w:rFonts w:ascii="Arial" w:hAnsi="Arial" w:cs="Arial"/>
                <w:color w:val="000000"/>
              </w:rPr>
              <w:t xml:space="preserve">31,688                 </w:t>
            </w:r>
          </w:p>
        </w:tc>
        <w:tc>
          <w:tcPr>
            <w:tcW w:w="1312" w:type="dxa"/>
            <w:tcBorders>
              <w:left w:val="nil"/>
              <w:bottom w:val="nil"/>
              <w:right w:val="nil"/>
            </w:tcBorders>
            <w:shd w:val="clear" w:color="auto" w:fill="C0C0C0"/>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23,672</w:t>
            </w:r>
          </w:p>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(74.7%)</w:t>
            </w:r>
          </w:p>
        </w:tc>
        <w:tc>
          <w:tcPr>
            <w:tcW w:w="2018" w:type="dxa"/>
            <w:tcBorders>
              <w:left w:val="nil"/>
              <w:bottom w:val="nil"/>
              <w:right w:val="nil"/>
            </w:tcBorders>
            <w:shd w:val="clear" w:color="auto" w:fill="C0C0C0"/>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1554        22,118</w:t>
            </w:r>
          </w:p>
          <w:p w:rsidR="0077184E" w:rsidRPr="00615712" w:rsidRDefault="0077184E" w:rsidP="009520B1">
            <w:pPr>
              <w:spacing w:after="0" w:line="480" w:lineRule="auto"/>
              <w:rPr>
                <w:rFonts w:ascii="Arial" w:hAnsi="Arial" w:cs="Arial"/>
                <w:color w:val="000000"/>
              </w:rPr>
            </w:pPr>
            <w:r w:rsidRPr="00615712">
              <w:rPr>
                <w:rFonts w:ascii="Arial" w:hAnsi="Arial" w:cs="Arial"/>
                <w:color w:val="000000"/>
              </w:rPr>
              <w:t>(6.55%)  (93.45%)</w:t>
            </w:r>
          </w:p>
        </w:tc>
        <w:tc>
          <w:tcPr>
            <w:tcW w:w="1872" w:type="dxa"/>
            <w:tcBorders>
              <w:left w:val="nil"/>
              <w:bottom w:val="nil"/>
              <w:right w:val="nil"/>
            </w:tcBorders>
            <w:shd w:val="clear" w:color="auto" w:fill="C0C0C0"/>
          </w:tcPr>
          <w:p w:rsidR="0077184E" w:rsidRPr="00615712" w:rsidRDefault="0077184E" w:rsidP="009520B1">
            <w:pPr>
              <w:spacing w:after="0" w:line="360" w:lineRule="auto"/>
              <w:rPr>
                <w:rFonts w:ascii="Arial" w:hAnsi="Arial" w:cs="Arial"/>
                <w:color w:val="000000"/>
              </w:rPr>
            </w:pPr>
            <w:r w:rsidRPr="00615712">
              <w:rPr>
                <w:rFonts w:ascii="Arial" w:hAnsi="Arial" w:cs="Arial"/>
                <w:color w:val="000000"/>
              </w:rPr>
              <w:t xml:space="preserve">      8016</w:t>
            </w:r>
          </w:p>
          <w:p w:rsidR="0077184E" w:rsidRPr="00615712" w:rsidRDefault="0077184E" w:rsidP="009520B1">
            <w:pPr>
              <w:spacing w:after="0"/>
              <w:rPr>
                <w:rFonts w:ascii="Arial" w:hAnsi="Arial" w:cs="Arial"/>
                <w:color w:val="000000"/>
              </w:rPr>
            </w:pPr>
            <w:r w:rsidRPr="00615712">
              <w:rPr>
                <w:rFonts w:ascii="Arial" w:hAnsi="Arial" w:cs="Arial"/>
                <w:color w:val="000000"/>
              </w:rPr>
              <w:t xml:space="preserve">    (25.3%)</w:t>
            </w:r>
          </w:p>
        </w:tc>
        <w:tc>
          <w:tcPr>
            <w:tcW w:w="3332" w:type="dxa"/>
            <w:tcBorders>
              <w:left w:val="nil"/>
              <w:bottom w:val="nil"/>
              <w:right w:val="nil"/>
            </w:tcBorders>
            <w:shd w:val="clear" w:color="auto" w:fill="C0C0C0"/>
          </w:tcPr>
          <w:p w:rsidR="0077184E" w:rsidRPr="00615712" w:rsidRDefault="0077184E" w:rsidP="009520B1">
            <w:pPr>
              <w:spacing w:after="0"/>
              <w:rPr>
                <w:rFonts w:ascii="Arial" w:hAnsi="Arial" w:cs="Arial"/>
                <w:color w:val="000000"/>
              </w:rPr>
            </w:pPr>
            <w:r w:rsidRPr="00615712">
              <w:rPr>
                <w:rFonts w:ascii="Arial" w:hAnsi="Arial" w:cs="Arial"/>
                <w:color w:val="000000"/>
              </w:rPr>
              <w:t xml:space="preserve">        2                  13</w:t>
            </w:r>
          </w:p>
          <w:p w:rsidR="0077184E" w:rsidRPr="00615712" w:rsidRDefault="0077184E" w:rsidP="009520B1">
            <w:pPr>
              <w:spacing w:before="240" w:after="0" w:line="240" w:lineRule="auto"/>
              <w:rPr>
                <w:rFonts w:ascii="Arial" w:hAnsi="Arial" w:cs="Arial"/>
                <w:color w:val="000000"/>
              </w:rPr>
            </w:pPr>
            <w:r w:rsidRPr="00615712">
              <w:rPr>
                <w:rFonts w:ascii="Arial" w:hAnsi="Arial" w:cs="Arial"/>
                <w:color w:val="000000"/>
              </w:rPr>
              <w:t xml:space="preserve"> </w:t>
            </w:r>
          </w:p>
        </w:tc>
      </w:tr>
    </w:tbl>
    <w:p w:rsidR="0077184E" w:rsidRPr="00615712" w:rsidRDefault="0077184E" w:rsidP="0077184E">
      <w:pPr>
        <w:spacing w:after="0" w:line="480" w:lineRule="auto"/>
        <w:rPr>
          <w:rFonts w:ascii="Arial" w:hAnsi="Arial" w:cs="Arial"/>
          <w:b/>
        </w:rPr>
      </w:pPr>
      <w:r w:rsidRPr="00615712">
        <w:rPr>
          <w:rFonts w:ascii="Arial" w:hAnsi="Arial" w:cs="Arial"/>
        </w:rPr>
        <w:t xml:space="preserve">     </w:t>
      </w:r>
      <w:r w:rsidRPr="00615712">
        <w:rPr>
          <w:rFonts w:ascii="Arial" w:hAnsi="Arial" w:cs="Arial"/>
          <w:b/>
        </w:rPr>
        <w:t>84,777          69,999           4598        65,401           14,779                        4                36</w:t>
      </w:r>
    </w:p>
    <w:p w:rsidR="0077184E" w:rsidRPr="00615712" w:rsidRDefault="0077184E" w:rsidP="0077184E">
      <w:pPr>
        <w:spacing w:after="0" w:line="480" w:lineRule="auto"/>
        <w:rPr>
          <w:rFonts w:ascii="Arial" w:hAnsi="Arial" w:cs="Arial"/>
          <w:b/>
        </w:rPr>
      </w:pPr>
      <w:r w:rsidRPr="00615712">
        <w:rPr>
          <w:rFonts w:ascii="Arial" w:hAnsi="Arial" w:cs="Arial"/>
          <w:b/>
        </w:rPr>
        <w:t xml:space="preserve">                         (82.6%)       (6.57%)   (93.43%)      (17.43%)</w:t>
      </w:r>
    </w:p>
    <w:p w:rsidR="0077184E" w:rsidRPr="00CC2E97" w:rsidRDefault="0077184E" w:rsidP="0077184E">
      <w:pPr>
        <w:spacing w:line="480" w:lineRule="auto"/>
        <w:rPr>
          <w:rFonts w:ascii="Times New Roman" w:hAnsi="Times New Roman"/>
          <w:b/>
          <w:sz w:val="24"/>
          <w:szCs w:val="24"/>
        </w:rPr>
      </w:pPr>
    </w:p>
    <w:p w:rsidR="0077184E" w:rsidRDefault="0077184E" w:rsidP="002D368A">
      <w:pPr>
        <w:spacing w:line="480" w:lineRule="auto"/>
        <w:rPr>
          <w:rFonts w:ascii="Times New Roman" w:hAnsi="Times New Roman"/>
          <w:sz w:val="24"/>
          <w:szCs w:val="24"/>
        </w:rPr>
      </w:pPr>
    </w:p>
    <w:p w:rsidR="00652F81" w:rsidRDefault="00652F81" w:rsidP="002D368A">
      <w:pPr>
        <w:spacing w:line="480" w:lineRule="auto"/>
        <w:rPr>
          <w:rFonts w:ascii="Times New Roman" w:hAnsi="Times New Roman"/>
          <w:sz w:val="24"/>
          <w:szCs w:val="24"/>
        </w:rPr>
      </w:pPr>
    </w:p>
    <w:p w:rsidR="00652F81" w:rsidRDefault="00652F81" w:rsidP="002D368A">
      <w:pPr>
        <w:spacing w:line="480" w:lineRule="auto"/>
        <w:rPr>
          <w:rFonts w:ascii="Times New Roman" w:hAnsi="Times New Roman"/>
          <w:sz w:val="24"/>
          <w:szCs w:val="24"/>
        </w:rPr>
      </w:pPr>
    </w:p>
    <w:p w:rsidR="00652F81" w:rsidRDefault="00652F81" w:rsidP="002D368A">
      <w:pPr>
        <w:spacing w:line="480" w:lineRule="auto"/>
        <w:rPr>
          <w:rFonts w:ascii="Times New Roman" w:hAnsi="Times New Roman"/>
          <w:sz w:val="24"/>
          <w:szCs w:val="24"/>
        </w:rPr>
      </w:pPr>
    </w:p>
    <w:p w:rsidR="00652F81" w:rsidRDefault="00652F81" w:rsidP="002D368A">
      <w:pPr>
        <w:spacing w:line="480" w:lineRule="auto"/>
        <w:rPr>
          <w:rFonts w:ascii="Times New Roman" w:hAnsi="Times New Roman"/>
          <w:sz w:val="24"/>
          <w:szCs w:val="24"/>
        </w:rPr>
      </w:pPr>
    </w:p>
    <w:p w:rsidR="00652F81" w:rsidRDefault="00652F81" w:rsidP="002D368A">
      <w:pPr>
        <w:spacing w:line="480" w:lineRule="auto"/>
        <w:rPr>
          <w:rFonts w:ascii="Times New Roman" w:hAnsi="Times New Roman"/>
          <w:sz w:val="24"/>
          <w:szCs w:val="24"/>
        </w:rPr>
      </w:pPr>
    </w:p>
    <w:p w:rsidR="00652F81" w:rsidRDefault="00652F81" w:rsidP="002D368A">
      <w:pPr>
        <w:spacing w:line="480" w:lineRule="auto"/>
        <w:rPr>
          <w:rFonts w:ascii="Times New Roman" w:hAnsi="Times New Roman"/>
          <w:sz w:val="24"/>
          <w:szCs w:val="24"/>
        </w:rPr>
      </w:pPr>
    </w:p>
    <w:p w:rsidR="00652F81" w:rsidRPr="00652F81" w:rsidRDefault="00652F81" w:rsidP="00652F81">
      <w:pPr>
        <w:rPr>
          <w:rFonts w:ascii="Times New Roman" w:hAnsi="Times New Roman"/>
          <w:b/>
          <w:sz w:val="24"/>
          <w:szCs w:val="24"/>
        </w:rPr>
      </w:pPr>
      <w:r w:rsidRPr="00652F81">
        <w:rPr>
          <w:rFonts w:ascii="Times New Roman" w:hAnsi="Times New Roman"/>
          <w:b/>
          <w:sz w:val="24"/>
          <w:szCs w:val="24"/>
        </w:rPr>
        <w:lastRenderedPageBreak/>
        <w:t>Table II – Types of HA-MRSA infection based on admission MRSA screening</w:t>
      </w:r>
    </w:p>
    <w:tbl>
      <w:tblPr>
        <w:tblStyle w:val="TableGrid"/>
        <w:tblW w:w="0" w:type="auto"/>
        <w:tblLook w:val="04A0" w:firstRow="1" w:lastRow="0" w:firstColumn="1" w:lastColumn="0" w:noHBand="0" w:noVBand="1"/>
      </w:tblPr>
      <w:tblGrid>
        <w:gridCol w:w="3192"/>
        <w:gridCol w:w="3192"/>
        <w:gridCol w:w="3192"/>
      </w:tblGrid>
      <w:tr w:rsidR="00652F81" w:rsidRPr="00652F81" w:rsidTr="00B72FA1">
        <w:tc>
          <w:tcPr>
            <w:tcW w:w="3192" w:type="dxa"/>
          </w:tcPr>
          <w:p w:rsidR="00652F81" w:rsidRPr="00652F81" w:rsidRDefault="007E21E7" w:rsidP="00652F81">
            <w:pPr>
              <w:spacing w:after="200" w:line="276" w:lineRule="auto"/>
              <w:rPr>
                <w:rFonts w:ascii="Times New Roman" w:hAnsi="Times New Roman"/>
                <w:b/>
                <w:sz w:val="24"/>
                <w:szCs w:val="24"/>
              </w:rPr>
            </w:pPr>
            <w:r>
              <w:rPr>
                <w:rFonts w:ascii="Times New Roman" w:hAnsi="Times New Roman"/>
                <w:b/>
                <w:sz w:val="24"/>
                <w:szCs w:val="24"/>
              </w:rPr>
              <w:t>T</w:t>
            </w:r>
            <w:r w:rsidR="00652F81" w:rsidRPr="00652F81">
              <w:rPr>
                <w:rFonts w:ascii="Times New Roman" w:hAnsi="Times New Roman"/>
                <w:b/>
                <w:sz w:val="24"/>
                <w:szCs w:val="24"/>
              </w:rPr>
              <w:t>ypes of infection</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b/>
                <w:sz w:val="24"/>
                <w:szCs w:val="24"/>
              </w:rPr>
              <w:t xml:space="preserve">Patients not detected as MRSA carriers      </w:t>
            </w:r>
          </w:p>
        </w:tc>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Patients detected as MRSA carriers</w:t>
            </w:r>
          </w:p>
        </w:tc>
      </w:tr>
      <w:tr w:rsidR="00652F81" w:rsidRPr="00652F81" w:rsidTr="00B72FA1">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Bacteremia</w:t>
            </w:r>
          </w:p>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Primary</w:t>
            </w:r>
          </w:p>
          <w:p w:rsidR="00C617B9"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Thrombophlebitis/CVL*-related</w:t>
            </w:r>
          </w:p>
          <w:p w:rsidR="00C617B9" w:rsidRDefault="00C617B9" w:rsidP="00652F81">
            <w:pPr>
              <w:spacing w:after="200" w:line="276" w:lineRule="auto"/>
              <w:rPr>
                <w:rFonts w:ascii="Times New Roman" w:hAnsi="Times New Roman"/>
                <w:sz w:val="24"/>
                <w:szCs w:val="24"/>
              </w:rPr>
            </w:pPr>
            <w:r>
              <w:rPr>
                <w:rFonts w:ascii="Times New Roman" w:hAnsi="Times New Roman"/>
                <w:sz w:val="24"/>
                <w:szCs w:val="24"/>
              </w:rPr>
              <w:t>With Joint Infection</w:t>
            </w:r>
          </w:p>
          <w:p w:rsidR="00DA5E07" w:rsidRDefault="00C617B9" w:rsidP="00652F81">
            <w:pPr>
              <w:spacing w:after="200" w:line="276" w:lineRule="auto"/>
              <w:rPr>
                <w:rFonts w:ascii="Times New Roman" w:hAnsi="Times New Roman"/>
                <w:sz w:val="24"/>
                <w:szCs w:val="24"/>
              </w:rPr>
            </w:pPr>
            <w:r>
              <w:rPr>
                <w:rFonts w:ascii="Times New Roman" w:hAnsi="Times New Roman"/>
                <w:sz w:val="24"/>
                <w:szCs w:val="24"/>
              </w:rPr>
              <w:t>With Wound Infection</w:t>
            </w:r>
          </w:p>
          <w:p w:rsidR="001A75D6" w:rsidRPr="00652F81" w:rsidRDefault="00DA5E07">
            <w:pPr>
              <w:spacing w:after="200" w:line="276" w:lineRule="auto"/>
              <w:rPr>
                <w:rFonts w:ascii="Times New Roman" w:hAnsi="Times New Roman"/>
                <w:sz w:val="24"/>
                <w:szCs w:val="24"/>
              </w:rPr>
            </w:pPr>
            <w:r>
              <w:rPr>
                <w:rFonts w:ascii="Times New Roman" w:hAnsi="Times New Roman"/>
                <w:sz w:val="24"/>
                <w:szCs w:val="24"/>
              </w:rPr>
              <w:t>With post-op infected pancreatic fluid</w:t>
            </w:r>
            <w:r w:rsidR="00652F81" w:rsidRPr="00652F81">
              <w:rPr>
                <w:rFonts w:ascii="Times New Roman" w:hAnsi="Times New Roman"/>
                <w:sz w:val="24"/>
                <w:szCs w:val="24"/>
              </w:rPr>
              <w:t xml:space="preserve"> </w:t>
            </w:r>
          </w:p>
        </w:tc>
        <w:tc>
          <w:tcPr>
            <w:tcW w:w="3192" w:type="dxa"/>
          </w:tcPr>
          <w:p w:rsidR="00C617B9" w:rsidRDefault="00DA5E07" w:rsidP="00652F81">
            <w:pPr>
              <w:spacing w:after="200" w:line="276" w:lineRule="auto"/>
              <w:rPr>
                <w:rFonts w:ascii="Times New Roman" w:hAnsi="Times New Roman"/>
                <w:sz w:val="24"/>
                <w:szCs w:val="24"/>
              </w:rPr>
            </w:pPr>
            <w:r>
              <w:rPr>
                <w:rFonts w:ascii="Times New Roman" w:hAnsi="Times New Roman"/>
                <w:sz w:val="24"/>
                <w:szCs w:val="24"/>
              </w:rPr>
              <w:t>Total 16</w:t>
            </w:r>
          </w:p>
          <w:p w:rsidR="00652F81" w:rsidRPr="00652F81" w:rsidRDefault="00BB7EFA" w:rsidP="00652F81">
            <w:pPr>
              <w:spacing w:after="200" w:line="276" w:lineRule="auto"/>
              <w:rPr>
                <w:rFonts w:ascii="Times New Roman" w:hAnsi="Times New Roman"/>
                <w:sz w:val="24"/>
                <w:szCs w:val="24"/>
              </w:rPr>
            </w:pPr>
            <w:r>
              <w:rPr>
                <w:rFonts w:ascii="Times New Roman" w:hAnsi="Times New Roman"/>
                <w:sz w:val="24"/>
                <w:szCs w:val="24"/>
              </w:rPr>
              <w:t>7</w:t>
            </w:r>
          </w:p>
          <w:p w:rsid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4</w:t>
            </w:r>
          </w:p>
          <w:p w:rsidR="00C617B9" w:rsidRDefault="00C617B9" w:rsidP="005F334F">
            <w:pPr>
              <w:spacing w:line="276" w:lineRule="auto"/>
              <w:rPr>
                <w:rFonts w:ascii="Times New Roman" w:hAnsi="Times New Roman"/>
                <w:sz w:val="24"/>
                <w:szCs w:val="24"/>
              </w:rPr>
            </w:pPr>
          </w:p>
          <w:p w:rsidR="00C617B9" w:rsidRDefault="00C617B9" w:rsidP="005F334F">
            <w:pPr>
              <w:spacing w:line="276" w:lineRule="auto"/>
              <w:rPr>
                <w:rFonts w:ascii="Times New Roman" w:hAnsi="Times New Roman"/>
                <w:sz w:val="24"/>
                <w:szCs w:val="24"/>
              </w:rPr>
            </w:pPr>
            <w:r>
              <w:rPr>
                <w:rFonts w:ascii="Times New Roman" w:hAnsi="Times New Roman"/>
                <w:sz w:val="24"/>
                <w:szCs w:val="24"/>
              </w:rPr>
              <w:t>2</w:t>
            </w:r>
          </w:p>
          <w:p w:rsidR="00C617B9" w:rsidRDefault="00C617B9" w:rsidP="005F334F">
            <w:pPr>
              <w:rPr>
                <w:rFonts w:ascii="Times New Roman" w:hAnsi="Times New Roman"/>
                <w:sz w:val="24"/>
                <w:szCs w:val="24"/>
              </w:rPr>
            </w:pPr>
          </w:p>
          <w:p w:rsidR="00C617B9" w:rsidRDefault="00C617B9" w:rsidP="005F334F">
            <w:pPr>
              <w:rPr>
                <w:rFonts w:ascii="Times New Roman" w:hAnsi="Times New Roman"/>
                <w:sz w:val="24"/>
                <w:szCs w:val="24"/>
              </w:rPr>
            </w:pPr>
            <w:r>
              <w:rPr>
                <w:rFonts w:ascii="Times New Roman" w:hAnsi="Times New Roman"/>
                <w:sz w:val="24"/>
                <w:szCs w:val="24"/>
              </w:rPr>
              <w:t>2</w:t>
            </w:r>
          </w:p>
          <w:p w:rsidR="00DA5E07" w:rsidRDefault="00DA5E07" w:rsidP="005F334F">
            <w:pPr>
              <w:rPr>
                <w:rFonts w:ascii="Times New Roman" w:hAnsi="Times New Roman"/>
                <w:sz w:val="24"/>
                <w:szCs w:val="24"/>
              </w:rPr>
            </w:pPr>
          </w:p>
          <w:p w:rsidR="00DA5E07" w:rsidRDefault="00DA5E07" w:rsidP="005F334F">
            <w:pPr>
              <w:rPr>
                <w:rFonts w:ascii="Times New Roman" w:hAnsi="Times New Roman"/>
                <w:sz w:val="24"/>
                <w:szCs w:val="24"/>
              </w:rPr>
            </w:pPr>
            <w:r>
              <w:rPr>
                <w:rFonts w:ascii="Times New Roman" w:hAnsi="Times New Roman"/>
                <w:sz w:val="24"/>
                <w:szCs w:val="24"/>
              </w:rPr>
              <w:t>1</w:t>
            </w:r>
          </w:p>
          <w:p w:rsidR="00C617B9" w:rsidRPr="00652F81" w:rsidRDefault="00C617B9" w:rsidP="00652F81">
            <w:pPr>
              <w:spacing w:after="200" w:line="276" w:lineRule="auto"/>
              <w:rPr>
                <w:rFonts w:ascii="Times New Roman" w:hAnsi="Times New Roman"/>
                <w:sz w:val="24"/>
                <w:szCs w:val="24"/>
              </w:rPr>
            </w:pPr>
          </w:p>
        </w:tc>
        <w:tc>
          <w:tcPr>
            <w:tcW w:w="3192" w:type="dxa"/>
          </w:tcPr>
          <w:p w:rsidR="00652F81" w:rsidRPr="00652F81" w:rsidRDefault="00DA5E07" w:rsidP="00652F81">
            <w:pPr>
              <w:spacing w:after="200" w:line="276" w:lineRule="auto"/>
              <w:rPr>
                <w:rFonts w:ascii="Times New Roman" w:hAnsi="Times New Roman"/>
                <w:sz w:val="24"/>
                <w:szCs w:val="24"/>
              </w:rPr>
            </w:pPr>
            <w:r>
              <w:rPr>
                <w:rFonts w:ascii="Times New Roman" w:hAnsi="Times New Roman"/>
                <w:sz w:val="24"/>
                <w:szCs w:val="24"/>
              </w:rPr>
              <w:t>Total 4</w:t>
            </w:r>
          </w:p>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2</w:t>
            </w:r>
          </w:p>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2</w:t>
            </w:r>
          </w:p>
        </w:tc>
      </w:tr>
      <w:tr w:rsidR="00652F81" w:rsidRPr="00652F81" w:rsidTr="00B72FA1">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Wound/Soft tissue Infection</w:t>
            </w:r>
          </w:p>
        </w:tc>
        <w:tc>
          <w:tcPr>
            <w:tcW w:w="3192" w:type="dxa"/>
          </w:tcPr>
          <w:p w:rsidR="00652F81" w:rsidRPr="00652F81" w:rsidRDefault="00BB7EFA" w:rsidP="00652F81">
            <w:pPr>
              <w:spacing w:after="200" w:line="276" w:lineRule="auto"/>
              <w:rPr>
                <w:rFonts w:ascii="Times New Roman" w:hAnsi="Times New Roman"/>
                <w:sz w:val="24"/>
                <w:szCs w:val="24"/>
              </w:rPr>
            </w:pPr>
            <w:r>
              <w:rPr>
                <w:rFonts w:ascii="Times New Roman" w:hAnsi="Times New Roman"/>
                <w:sz w:val="24"/>
                <w:szCs w:val="24"/>
              </w:rPr>
              <w:t>9</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0</w:t>
            </w:r>
          </w:p>
        </w:tc>
      </w:tr>
      <w:tr w:rsidR="00652F81" w:rsidRPr="00652F81" w:rsidTr="00B72FA1">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Bone &amp; Joint Infection</w:t>
            </w:r>
          </w:p>
          <w:p w:rsidR="00652F81" w:rsidRPr="00652F81" w:rsidRDefault="00652F81" w:rsidP="00BB7EFA">
            <w:pPr>
              <w:spacing w:after="200" w:line="276" w:lineRule="auto"/>
              <w:rPr>
                <w:rFonts w:ascii="Times New Roman" w:hAnsi="Times New Roman"/>
                <w:sz w:val="24"/>
                <w:szCs w:val="24"/>
              </w:rPr>
            </w:pPr>
            <w:r w:rsidRPr="00652F81">
              <w:rPr>
                <w:rFonts w:ascii="Times New Roman" w:hAnsi="Times New Roman"/>
                <w:sz w:val="24"/>
                <w:szCs w:val="24"/>
              </w:rPr>
              <w:t>Implant-related</w:t>
            </w:r>
          </w:p>
        </w:tc>
        <w:tc>
          <w:tcPr>
            <w:tcW w:w="3192" w:type="dxa"/>
          </w:tcPr>
          <w:p w:rsidR="00652F81" w:rsidRPr="00652F81" w:rsidRDefault="00652F81" w:rsidP="00652F81">
            <w:pPr>
              <w:spacing w:after="200" w:line="276" w:lineRule="auto"/>
              <w:rPr>
                <w:rFonts w:ascii="Times New Roman" w:hAnsi="Times New Roman"/>
                <w:sz w:val="24"/>
                <w:szCs w:val="24"/>
              </w:rPr>
            </w:pPr>
          </w:p>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6</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0</w:t>
            </w:r>
          </w:p>
        </w:tc>
      </w:tr>
      <w:tr w:rsidR="00652F81" w:rsidRPr="00652F81" w:rsidTr="00B72FA1">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Pneumonia</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1</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0</w:t>
            </w:r>
          </w:p>
        </w:tc>
      </w:tr>
      <w:tr w:rsidR="00652F81" w:rsidRPr="00652F81" w:rsidTr="00B72FA1">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Urinary tract Infection</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2</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0</w:t>
            </w:r>
          </w:p>
        </w:tc>
      </w:tr>
      <w:tr w:rsidR="00652F81" w:rsidRPr="00652F81" w:rsidTr="00B72FA1">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Intra-abdominal Infection</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1</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0</w:t>
            </w:r>
          </w:p>
        </w:tc>
      </w:tr>
      <w:tr w:rsidR="00652F81" w:rsidRPr="00652F81" w:rsidTr="00B72FA1">
        <w:tc>
          <w:tcPr>
            <w:tcW w:w="3192" w:type="dxa"/>
          </w:tcPr>
          <w:p w:rsidR="00652F81" w:rsidRPr="00652F81" w:rsidRDefault="00652F81" w:rsidP="00652F81">
            <w:pPr>
              <w:spacing w:after="200" w:line="276" w:lineRule="auto"/>
              <w:rPr>
                <w:rFonts w:ascii="Times New Roman" w:hAnsi="Times New Roman"/>
                <w:b/>
                <w:sz w:val="24"/>
                <w:szCs w:val="24"/>
              </w:rPr>
            </w:pPr>
            <w:r w:rsidRPr="00652F81">
              <w:rPr>
                <w:rFonts w:ascii="Times New Roman" w:hAnsi="Times New Roman"/>
                <w:b/>
                <w:sz w:val="24"/>
                <w:szCs w:val="24"/>
              </w:rPr>
              <w:t>Total</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36</w:t>
            </w:r>
          </w:p>
        </w:tc>
        <w:tc>
          <w:tcPr>
            <w:tcW w:w="3192" w:type="dxa"/>
          </w:tcPr>
          <w:p w:rsidR="00652F81" w:rsidRPr="00652F81" w:rsidRDefault="00652F81" w:rsidP="00652F81">
            <w:pPr>
              <w:spacing w:after="200" w:line="276" w:lineRule="auto"/>
              <w:rPr>
                <w:rFonts w:ascii="Times New Roman" w:hAnsi="Times New Roman"/>
                <w:sz w:val="24"/>
                <w:szCs w:val="24"/>
              </w:rPr>
            </w:pPr>
            <w:r w:rsidRPr="00652F81">
              <w:rPr>
                <w:rFonts w:ascii="Times New Roman" w:hAnsi="Times New Roman"/>
                <w:sz w:val="24"/>
                <w:szCs w:val="24"/>
              </w:rPr>
              <w:t>4</w:t>
            </w:r>
          </w:p>
        </w:tc>
      </w:tr>
    </w:tbl>
    <w:p w:rsidR="00652F81" w:rsidRPr="00652F81" w:rsidRDefault="00652F81" w:rsidP="00652F81">
      <w:pPr>
        <w:rPr>
          <w:rFonts w:ascii="Times New Roman" w:hAnsi="Times New Roman"/>
          <w:sz w:val="24"/>
          <w:szCs w:val="24"/>
        </w:rPr>
      </w:pPr>
      <w:r w:rsidRPr="00652F81">
        <w:rPr>
          <w:rFonts w:ascii="Times New Roman" w:hAnsi="Times New Roman"/>
          <w:sz w:val="24"/>
          <w:szCs w:val="24"/>
        </w:rPr>
        <w:t>*Central venous line</w:t>
      </w:r>
    </w:p>
    <w:p w:rsidR="00652F81" w:rsidRDefault="002D368A">
      <w:pPr>
        <w:rPr>
          <w:rFonts w:ascii="Times New Roman" w:hAnsi="Times New Roman"/>
          <w:sz w:val="24"/>
          <w:szCs w:val="24"/>
        </w:rPr>
      </w:pPr>
      <w:r>
        <w:rPr>
          <w:rFonts w:ascii="Times New Roman" w:hAnsi="Times New Roman"/>
          <w:sz w:val="24"/>
          <w:szCs w:val="24"/>
        </w:rPr>
        <w:br w:type="page"/>
      </w:r>
    </w:p>
    <w:p w:rsidR="002D368A" w:rsidRPr="00615712" w:rsidRDefault="002D368A" w:rsidP="002D368A">
      <w:pPr>
        <w:spacing w:line="480" w:lineRule="auto"/>
        <w:rPr>
          <w:rFonts w:ascii="Arial" w:hAnsi="Arial" w:cs="Arial"/>
          <w:b/>
        </w:rPr>
      </w:pPr>
      <w:r w:rsidRPr="00615712">
        <w:rPr>
          <w:rFonts w:ascii="Arial" w:hAnsi="Arial" w:cs="Arial"/>
          <w:b/>
        </w:rPr>
        <w:lastRenderedPageBreak/>
        <w:t>Figure 1 –</w:t>
      </w:r>
      <w:r w:rsidR="003C4593">
        <w:rPr>
          <w:rFonts w:ascii="Arial" w:hAnsi="Arial" w:cs="Arial"/>
          <w:b/>
        </w:rPr>
        <w:t xml:space="preserve"> </w:t>
      </w:r>
      <w:r w:rsidRPr="00615712">
        <w:rPr>
          <w:rFonts w:ascii="Arial" w:hAnsi="Arial" w:cs="Arial"/>
          <w:b/>
        </w:rPr>
        <w:t>Estimating the Number of undetected MRSA Carriers (patients who were thus at risk for HA-MRSA Infection)</w:t>
      </w:r>
    </w:p>
    <w:p w:rsidR="002D368A" w:rsidRPr="00615712" w:rsidRDefault="002D368A" w:rsidP="002D368A">
      <w:pPr>
        <w:spacing w:after="0"/>
        <w:rPr>
          <w:rFonts w:ascii="Arial" w:hAnsi="Arial" w:cs="Arial"/>
        </w:rPr>
      </w:pPr>
      <w:r w:rsidRPr="00615712">
        <w:rPr>
          <w:rFonts w:ascii="Arial" w:hAnsi="Arial" w:cs="Arial"/>
        </w:rPr>
        <w:t xml:space="preserve">        </w:t>
      </w:r>
    </w:p>
    <w:p w:rsidR="002D368A" w:rsidRPr="00615712" w:rsidRDefault="002D368A" w:rsidP="002D368A">
      <w:pPr>
        <w:spacing w:after="0" w:line="480" w:lineRule="auto"/>
        <w:rPr>
          <w:rFonts w:ascii="Arial" w:hAnsi="Arial" w:cs="Arial"/>
          <w:u w:val="single"/>
        </w:rPr>
      </w:pPr>
      <w:r w:rsidRPr="00615712">
        <w:rPr>
          <w:rFonts w:ascii="Arial" w:hAnsi="Arial" w:cs="Arial"/>
          <w:u w:val="single"/>
        </w:rPr>
        <w:t>Explanation of Figure 1</w:t>
      </w:r>
    </w:p>
    <w:p w:rsidR="002D368A" w:rsidRPr="00615712" w:rsidRDefault="002D368A" w:rsidP="002D368A">
      <w:pPr>
        <w:numPr>
          <w:ilvl w:val="0"/>
          <w:numId w:val="1"/>
        </w:numPr>
        <w:spacing w:after="0" w:line="480" w:lineRule="auto"/>
        <w:rPr>
          <w:rFonts w:ascii="Arial" w:hAnsi="Arial" w:cs="Arial"/>
        </w:rPr>
      </w:pPr>
      <w:r w:rsidRPr="00615712">
        <w:rPr>
          <w:rFonts w:ascii="Arial" w:hAnsi="Arial" w:cs="Arial"/>
        </w:rPr>
        <w:t xml:space="preserve">Detection sensitivity for screening test is 92% which picked up 4598 cases over 3 years out of 69,999 cases screened. Therefore 4598 = 0.92X where X is the actual total of positive cases. X=4998 and missed cases (false negatives) are therefore estimated to be </w:t>
      </w:r>
      <w:r w:rsidRPr="00615712">
        <w:rPr>
          <w:rFonts w:ascii="Arial" w:hAnsi="Arial" w:cs="Arial"/>
          <w:b/>
          <w:u w:val="single"/>
        </w:rPr>
        <w:t>400</w:t>
      </w:r>
      <w:r w:rsidRPr="00615712">
        <w:rPr>
          <w:rFonts w:ascii="Arial" w:hAnsi="Arial" w:cs="Arial"/>
          <w:b/>
        </w:rPr>
        <w:t xml:space="preserve"> </w:t>
      </w:r>
      <w:r w:rsidRPr="00615712">
        <w:rPr>
          <w:rFonts w:ascii="Arial" w:hAnsi="Arial" w:cs="Arial"/>
        </w:rPr>
        <w:t>(4998 – 4598).</w:t>
      </w:r>
    </w:p>
    <w:p w:rsidR="002D368A" w:rsidRPr="00615712" w:rsidRDefault="002D368A" w:rsidP="002D368A">
      <w:pPr>
        <w:numPr>
          <w:ilvl w:val="0"/>
          <w:numId w:val="1"/>
        </w:numPr>
        <w:spacing w:after="0" w:line="480" w:lineRule="auto"/>
        <w:rPr>
          <w:rFonts w:ascii="Arial" w:hAnsi="Arial" w:cs="Arial"/>
        </w:rPr>
      </w:pPr>
      <w:r w:rsidRPr="00615712">
        <w:rPr>
          <w:rFonts w:ascii="Arial" w:hAnsi="Arial" w:cs="Arial"/>
        </w:rPr>
        <w:t xml:space="preserve">Of 14,779 unscreened cases 6.57% (our average annual positivity rate which has shown little variation from month to month and year to year) would have been expected to test positive, yielding </w:t>
      </w:r>
      <w:r w:rsidRPr="00615712">
        <w:rPr>
          <w:rFonts w:ascii="Arial" w:hAnsi="Arial" w:cs="Arial"/>
          <w:b/>
          <w:u w:val="single"/>
        </w:rPr>
        <w:t>971</w:t>
      </w:r>
      <w:r w:rsidRPr="00615712">
        <w:rPr>
          <w:rFonts w:ascii="Arial" w:hAnsi="Arial" w:cs="Arial"/>
        </w:rPr>
        <w:t xml:space="preserve"> undetected cases.</w:t>
      </w:r>
    </w:p>
    <w:p w:rsidR="002D368A" w:rsidRPr="00615712" w:rsidRDefault="002D368A" w:rsidP="002D368A">
      <w:pPr>
        <w:numPr>
          <w:ilvl w:val="0"/>
          <w:numId w:val="1"/>
        </w:numPr>
        <w:spacing w:after="0" w:line="480" w:lineRule="auto"/>
        <w:rPr>
          <w:rFonts w:ascii="Arial" w:hAnsi="Arial" w:cs="Arial"/>
        </w:rPr>
      </w:pPr>
      <w:r w:rsidRPr="00615712">
        <w:rPr>
          <w:rFonts w:ascii="Arial" w:hAnsi="Arial" w:cs="Arial"/>
        </w:rPr>
        <w:t xml:space="preserve">Of unscreened cases we can estimate those who would have had a false negative test: 971=0.92X where X is the true total of positive cases.  Therefore X = 1055 and missed cases would be </w:t>
      </w:r>
      <w:r w:rsidRPr="00615712">
        <w:rPr>
          <w:rFonts w:ascii="Arial" w:hAnsi="Arial" w:cs="Arial"/>
          <w:b/>
          <w:u w:val="single"/>
        </w:rPr>
        <w:t>84</w:t>
      </w:r>
      <w:r w:rsidRPr="00615712">
        <w:rPr>
          <w:rFonts w:ascii="Arial" w:hAnsi="Arial" w:cs="Arial"/>
          <w:color w:val="FF0000"/>
        </w:rPr>
        <w:t xml:space="preserve"> </w:t>
      </w:r>
      <w:r w:rsidRPr="00615712">
        <w:rPr>
          <w:rFonts w:ascii="Arial" w:hAnsi="Arial" w:cs="Arial"/>
        </w:rPr>
        <w:t>(1055 – 971). If unscreened cases had been tested we would expect true negatives therefore to be 13,724 cases (13,808 – 84).</w:t>
      </w:r>
    </w:p>
    <w:p w:rsidR="002D368A" w:rsidRPr="00615712" w:rsidRDefault="002D368A" w:rsidP="002D368A">
      <w:pPr>
        <w:numPr>
          <w:ilvl w:val="0"/>
          <w:numId w:val="1"/>
        </w:numPr>
        <w:spacing w:after="0" w:line="480" w:lineRule="auto"/>
        <w:rPr>
          <w:rFonts w:ascii="Arial" w:hAnsi="Arial" w:cs="Arial"/>
        </w:rPr>
      </w:pPr>
      <w:r w:rsidRPr="00615712">
        <w:rPr>
          <w:rFonts w:ascii="Arial" w:hAnsi="Arial" w:cs="Arial"/>
        </w:rPr>
        <w:t xml:space="preserve">5% acquisition rate for true negatives = 3250 + 686 = </w:t>
      </w:r>
      <w:r w:rsidRPr="00615712">
        <w:rPr>
          <w:rFonts w:ascii="Arial" w:hAnsi="Arial" w:cs="Arial"/>
          <w:b/>
          <w:u w:val="single"/>
        </w:rPr>
        <w:t>3936</w:t>
      </w:r>
      <w:r w:rsidRPr="00615712">
        <w:rPr>
          <w:rFonts w:ascii="Arial" w:hAnsi="Arial" w:cs="Arial"/>
        </w:rPr>
        <w:t xml:space="preserve">. True negatives are calculated as follows: </w:t>
      </w:r>
    </w:p>
    <w:p w:rsidR="002D368A" w:rsidRPr="00615712" w:rsidRDefault="002D368A" w:rsidP="002D368A">
      <w:pPr>
        <w:numPr>
          <w:ilvl w:val="1"/>
          <w:numId w:val="1"/>
        </w:numPr>
        <w:spacing w:after="0" w:line="480" w:lineRule="auto"/>
        <w:jc w:val="both"/>
        <w:rPr>
          <w:rFonts w:ascii="Arial" w:hAnsi="Arial" w:cs="Arial"/>
          <w:u w:val="single"/>
        </w:rPr>
      </w:pPr>
      <w:r w:rsidRPr="00615712">
        <w:rPr>
          <w:rFonts w:ascii="Arial" w:hAnsi="Arial" w:cs="Arial"/>
        </w:rPr>
        <w:t xml:space="preserve">65,401 screened negative minus 400 estimated to be false negatives = 65,001 true negatives. About 5% acquisition rate gives 65,001 x 0.05 = </w:t>
      </w:r>
      <w:r w:rsidRPr="00615712">
        <w:rPr>
          <w:rFonts w:ascii="Arial" w:hAnsi="Arial" w:cs="Arial"/>
          <w:b/>
          <w:u w:val="single"/>
        </w:rPr>
        <w:t>3250</w:t>
      </w:r>
    </w:p>
    <w:p w:rsidR="002D368A" w:rsidRPr="00615712" w:rsidRDefault="002D368A" w:rsidP="002D368A">
      <w:pPr>
        <w:numPr>
          <w:ilvl w:val="1"/>
          <w:numId w:val="1"/>
        </w:numPr>
        <w:spacing w:line="480" w:lineRule="auto"/>
        <w:jc w:val="both"/>
        <w:rPr>
          <w:rFonts w:ascii="Arial" w:hAnsi="Arial" w:cs="Arial"/>
        </w:rPr>
      </w:pPr>
      <w:r w:rsidRPr="00615712">
        <w:rPr>
          <w:rFonts w:ascii="Arial" w:hAnsi="Arial" w:cs="Arial"/>
        </w:rPr>
        <w:t>Of 14,779 unscreened about 971</w:t>
      </w:r>
      <w:r w:rsidRPr="00615712">
        <w:rPr>
          <w:rFonts w:ascii="Arial" w:hAnsi="Arial" w:cs="Arial"/>
          <w:b/>
        </w:rPr>
        <w:t xml:space="preserve"> </w:t>
      </w:r>
      <w:r w:rsidRPr="00615712">
        <w:rPr>
          <w:rFonts w:ascii="Arial" w:hAnsi="Arial" w:cs="Arial"/>
        </w:rPr>
        <w:t>would have tested positive</w:t>
      </w:r>
      <w:r w:rsidRPr="00615712">
        <w:rPr>
          <w:rFonts w:ascii="Arial" w:hAnsi="Arial" w:cs="Arial"/>
          <w:b/>
        </w:rPr>
        <w:t xml:space="preserve"> </w:t>
      </w:r>
      <w:r w:rsidRPr="00615712">
        <w:rPr>
          <w:rFonts w:ascii="Arial" w:hAnsi="Arial" w:cs="Arial"/>
        </w:rPr>
        <w:t xml:space="preserve">+ 84 estimated to test false negative = 1055. We can estimate 14,779 – 1055 = 13,724 true negatives. About 5% acquisition rate gives 13,724 x 0.05 = </w:t>
      </w:r>
      <w:r w:rsidRPr="00615712">
        <w:rPr>
          <w:rFonts w:ascii="Arial" w:hAnsi="Arial" w:cs="Arial"/>
          <w:b/>
          <w:u w:val="single"/>
        </w:rPr>
        <w:t>686</w:t>
      </w:r>
    </w:p>
    <w:p w:rsidR="002D368A" w:rsidRPr="00615712" w:rsidRDefault="002D368A" w:rsidP="002D368A">
      <w:pPr>
        <w:spacing w:line="480" w:lineRule="auto"/>
        <w:jc w:val="both"/>
        <w:rPr>
          <w:rFonts w:ascii="Arial" w:hAnsi="Arial" w:cs="Arial"/>
          <w:b/>
        </w:rPr>
      </w:pPr>
      <w:r w:rsidRPr="00615712">
        <w:rPr>
          <w:rFonts w:ascii="Arial" w:hAnsi="Arial" w:cs="Arial"/>
          <w:b/>
        </w:rPr>
        <w:t>Grand Total of undetected MRSA carriers is 5391 (400 + 3250 + 971 + 84 + 686 = 5391)</w:t>
      </w:r>
    </w:p>
    <w:p w:rsidR="002D368A" w:rsidRPr="00D0414F" w:rsidRDefault="002D368A" w:rsidP="002D368A">
      <w:pPr>
        <w:spacing w:line="480" w:lineRule="auto"/>
        <w:jc w:val="both"/>
        <w:rPr>
          <w:rFonts w:ascii="Arial" w:hAnsi="Arial" w:cs="Arial"/>
          <w:b/>
          <w:sz w:val="24"/>
          <w:szCs w:val="24"/>
        </w:rPr>
      </w:pPr>
      <w:r>
        <w:rPr>
          <w:rFonts w:ascii="Times New Roman" w:hAnsi="Times New Roman"/>
          <w:b/>
          <w:sz w:val="24"/>
          <w:szCs w:val="24"/>
        </w:rPr>
        <w:br w:type="page"/>
      </w:r>
      <w:r w:rsidR="00AF77D7" w:rsidRPr="00D0414F">
        <w:rPr>
          <w:rFonts w:ascii="Arial" w:hAnsi="Arial" w:cs="Arial"/>
          <w:b/>
          <w:sz w:val="24"/>
          <w:szCs w:val="24"/>
        </w:rPr>
        <w:lastRenderedPageBreak/>
        <w:t>Table II</w:t>
      </w:r>
      <w:r w:rsidR="00366F58">
        <w:rPr>
          <w:rFonts w:ascii="Arial" w:hAnsi="Arial" w:cs="Arial"/>
          <w:b/>
          <w:sz w:val="24"/>
          <w:szCs w:val="24"/>
        </w:rPr>
        <w:t>I</w:t>
      </w:r>
      <w:r w:rsidRPr="00D0414F">
        <w:rPr>
          <w:rFonts w:ascii="Arial" w:hAnsi="Arial" w:cs="Arial"/>
          <w:b/>
          <w:sz w:val="24"/>
          <w:szCs w:val="24"/>
        </w:rPr>
        <w:t xml:space="preserve">       ILTC* Sector Contribution to MRSA Carriage in 2011, 2012 and 2013</w:t>
      </w:r>
    </w:p>
    <w:p w:rsidR="002D368A" w:rsidRPr="00D0414F" w:rsidRDefault="002D368A" w:rsidP="002D368A">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1584"/>
        <w:gridCol w:w="822"/>
        <w:gridCol w:w="898"/>
        <w:gridCol w:w="897"/>
        <w:gridCol w:w="898"/>
        <w:gridCol w:w="897"/>
        <w:gridCol w:w="898"/>
        <w:gridCol w:w="1530"/>
      </w:tblGrid>
      <w:tr w:rsidR="002D368A" w:rsidRPr="00D0414F" w:rsidTr="009520B1">
        <w:tc>
          <w:tcPr>
            <w:tcW w:w="1584" w:type="dxa"/>
          </w:tcPr>
          <w:p w:rsidR="002D368A" w:rsidRPr="00D0414F" w:rsidRDefault="002D368A" w:rsidP="009520B1">
            <w:pPr>
              <w:jc w:val="both"/>
              <w:rPr>
                <w:rFonts w:ascii="Arial" w:hAnsi="Arial" w:cs="Arial"/>
                <w:b/>
                <w:bCs/>
                <w:color w:val="000000"/>
                <w:sz w:val="24"/>
                <w:szCs w:val="24"/>
              </w:rPr>
            </w:pPr>
          </w:p>
        </w:tc>
        <w:tc>
          <w:tcPr>
            <w:tcW w:w="822" w:type="dxa"/>
          </w:tcPr>
          <w:p w:rsidR="002D368A" w:rsidRPr="00D0414F" w:rsidRDefault="002D368A" w:rsidP="009520B1">
            <w:pPr>
              <w:spacing w:after="0" w:line="240" w:lineRule="auto"/>
              <w:jc w:val="center"/>
              <w:rPr>
                <w:rFonts w:ascii="Arial" w:hAnsi="Arial" w:cs="Arial"/>
                <w:b/>
                <w:bCs/>
                <w:color w:val="000000"/>
                <w:sz w:val="24"/>
                <w:szCs w:val="24"/>
              </w:rPr>
            </w:pPr>
            <w:r w:rsidRPr="00D0414F">
              <w:rPr>
                <w:rFonts w:ascii="Arial" w:hAnsi="Arial" w:cs="Arial"/>
                <w:b/>
                <w:bCs/>
                <w:color w:val="000000"/>
                <w:sz w:val="24"/>
                <w:szCs w:val="24"/>
              </w:rPr>
              <w:t>2011</w:t>
            </w:r>
          </w:p>
          <w:p w:rsidR="002D368A" w:rsidRPr="00D0414F" w:rsidRDefault="002D368A" w:rsidP="009520B1">
            <w:pPr>
              <w:spacing w:after="0" w:line="240" w:lineRule="auto"/>
              <w:jc w:val="center"/>
              <w:rPr>
                <w:rFonts w:ascii="Arial" w:hAnsi="Arial" w:cs="Arial"/>
                <w:b/>
                <w:bCs/>
                <w:color w:val="000000"/>
                <w:sz w:val="24"/>
                <w:szCs w:val="24"/>
              </w:rPr>
            </w:pPr>
          </w:p>
          <w:p w:rsidR="002D368A" w:rsidRPr="00D0414F" w:rsidRDefault="002D368A" w:rsidP="009520B1">
            <w:pPr>
              <w:jc w:val="center"/>
              <w:rPr>
                <w:rFonts w:ascii="Arial" w:hAnsi="Arial" w:cs="Arial"/>
                <w:b/>
                <w:bCs/>
                <w:color w:val="000000"/>
                <w:sz w:val="24"/>
                <w:szCs w:val="24"/>
              </w:rPr>
            </w:pPr>
            <w:r w:rsidRPr="00D0414F">
              <w:rPr>
                <w:rFonts w:ascii="Arial" w:hAnsi="Arial" w:cs="Arial"/>
                <w:b/>
                <w:bCs/>
                <w:color w:val="000000"/>
                <w:sz w:val="24"/>
                <w:szCs w:val="24"/>
              </w:rPr>
              <w:t>Old</w:t>
            </w:r>
          </w:p>
        </w:tc>
        <w:tc>
          <w:tcPr>
            <w:tcW w:w="898" w:type="dxa"/>
          </w:tcPr>
          <w:p w:rsidR="002D368A" w:rsidRPr="00D0414F" w:rsidRDefault="002D368A" w:rsidP="009520B1">
            <w:pPr>
              <w:tabs>
                <w:tab w:val="left" w:pos="428"/>
              </w:tabs>
              <w:spacing w:after="0" w:line="240" w:lineRule="auto"/>
              <w:rPr>
                <w:rFonts w:ascii="Arial" w:hAnsi="Arial" w:cs="Arial"/>
                <w:b/>
                <w:bCs/>
                <w:color w:val="000000"/>
                <w:sz w:val="24"/>
                <w:szCs w:val="24"/>
              </w:rPr>
            </w:pPr>
            <w:r w:rsidRPr="00D0414F">
              <w:rPr>
                <w:rFonts w:ascii="Arial" w:hAnsi="Arial" w:cs="Arial"/>
                <w:b/>
                <w:bCs/>
                <w:color w:val="000000"/>
                <w:sz w:val="24"/>
                <w:szCs w:val="24"/>
              </w:rPr>
              <w:t>2011</w:t>
            </w:r>
          </w:p>
          <w:p w:rsidR="002D368A" w:rsidRPr="00D0414F" w:rsidRDefault="002D368A" w:rsidP="009520B1">
            <w:pPr>
              <w:tabs>
                <w:tab w:val="left" w:pos="428"/>
              </w:tabs>
              <w:spacing w:after="0" w:line="240" w:lineRule="auto"/>
              <w:rPr>
                <w:rFonts w:ascii="Arial" w:hAnsi="Arial" w:cs="Arial"/>
                <w:b/>
                <w:bCs/>
                <w:color w:val="000000"/>
                <w:sz w:val="24"/>
                <w:szCs w:val="24"/>
              </w:rPr>
            </w:pPr>
          </w:p>
          <w:p w:rsidR="002D368A" w:rsidRPr="00D0414F" w:rsidRDefault="002D368A" w:rsidP="009520B1">
            <w:pPr>
              <w:tabs>
                <w:tab w:val="left" w:pos="428"/>
              </w:tabs>
              <w:spacing w:after="0" w:line="240" w:lineRule="auto"/>
              <w:rPr>
                <w:rFonts w:ascii="Arial" w:hAnsi="Arial" w:cs="Arial"/>
                <w:b/>
                <w:bCs/>
                <w:color w:val="000000"/>
                <w:sz w:val="24"/>
                <w:szCs w:val="24"/>
              </w:rPr>
            </w:pPr>
            <w:r w:rsidRPr="00D0414F">
              <w:rPr>
                <w:rFonts w:ascii="Arial" w:hAnsi="Arial" w:cs="Arial"/>
                <w:b/>
                <w:bCs/>
                <w:color w:val="000000"/>
                <w:sz w:val="24"/>
                <w:szCs w:val="24"/>
              </w:rPr>
              <w:t>New</w:t>
            </w:r>
          </w:p>
        </w:tc>
        <w:tc>
          <w:tcPr>
            <w:tcW w:w="897" w:type="dxa"/>
          </w:tcPr>
          <w:p w:rsidR="002D368A" w:rsidRPr="00D0414F" w:rsidRDefault="002D368A" w:rsidP="009520B1">
            <w:pPr>
              <w:tabs>
                <w:tab w:val="left" w:pos="428"/>
              </w:tabs>
              <w:spacing w:after="0" w:line="240" w:lineRule="auto"/>
              <w:rPr>
                <w:rFonts w:ascii="Arial" w:hAnsi="Arial" w:cs="Arial"/>
                <w:b/>
                <w:bCs/>
                <w:color w:val="000000"/>
                <w:sz w:val="24"/>
                <w:szCs w:val="24"/>
              </w:rPr>
            </w:pPr>
            <w:r w:rsidRPr="00D0414F">
              <w:rPr>
                <w:rFonts w:ascii="Arial" w:hAnsi="Arial" w:cs="Arial"/>
                <w:b/>
                <w:bCs/>
                <w:color w:val="000000"/>
                <w:sz w:val="24"/>
                <w:szCs w:val="24"/>
              </w:rPr>
              <w:t xml:space="preserve">2012 </w:t>
            </w:r>
          </w:p>
          <w:p w:rsidR="002D368A" w:rsidRPr="00D0414F" w:rsidRDefault="002D368A" w:rsidP="009520B1">
            <w:pPr>
              <w:tabs>
                <w:tab w:val="left" w:pos="428"/>
              </w:tabs>
              <w:spacing w:after="0" w:line="240" w:lineRule="auto"/>
              <w:rPr>
                <w:rFonts w:ascii="Arial" w:hAnsi="Arial" w:cs="Arial"/>
                <w:b/>
                <w:bCs/>
                <w:color w:val="000000"/>
                <w:sz w:val="24"/>
                <w:szCs w:val="24"/>
              </w:rPr>
            </w:pPr>
          </w:p>
          <w:p w:rsidR="002D368A" w:rsidRPr="00D0414F" w:rsidRDefault="002D368A" w:rsidP="009520B1">
            <w:pPr>
              <w:tabs>
                <w:tab w:val="left" w:pos="428"/>
              </w:tabs>
              <w:spacing w:after="0" w:line="240" w:lineRule="auto"/>
              <w:rPr>
                <w:rFonts w:ascii="Arial" w:hAnsi="Arial" w:cs="Arial"/>
                <w:b/>
                <w:bCs/>
                <w:color w:val="000000"/>
                <w:sz w:val="24"/>
                <w:szCs w:val="24"/>
              </w:rPr>
            </w:pPr>
            <w:r w:rsidRPr="00D0414F">
              <w:rPr>
                <w:rFonts w:ascii="Arial" w:hAnsi="Arial" w:cs="Arial"/>
                <w:b/>
                <w:bCs/>
                <w:color w:val="000000"/>
                <w:sz w:val="24"/>
                <w:szCs w:val="24"/>
              </w:rPr>
              <w:t>Old</w:t>
            </w:r>
          </w:p>
        </w:tc>
        <w:tc>
          <w:tcPr>
            <w:tcW w:w="898" w:type="dxa"/>
          </w:tcPr>
          <w:p w:rsidR="002D368A" w:rsidRPr="00D0414F" w:rsidRDefault="002D368A" w:rsidP="009520B1">
            <w:pPr>
              <w:tabs>
                <w:tab w:val="left" w:pos="428"/>
              </w:tabs>
              <w:spacing w:after="0" w:line="240" w:lineRule="auto"/>
              <w:ind w:left="-136"/>
              <w:jc w:val="center"/>
              <w:rPr>
                <w:rFonts w:ascii="Arial" w:hAnsi="Arial" w:cs="Arial"/>
                <w:b/>
                <w:bCs/>
                <w:color w:val="000000"/>
                <w:sz w:val="24"/>
                <w:szCs w:val="24"/>
              </w:rPr>
            </w:pPr>
            <w:r w:rsidRPr="00D0414F">
              <w:rPr>
                <w:rFonts w:ascii="Arial" w:hAnsi="Arial" w:cs="Arial"/>
                <w:b/>
                <w:bCs/>
                <w:color w:val="000000"/>
                <w:sz w:val="24"/>
                <w:szCs w:val="24"/>
              </w:rPr>
              <w:t>2012</w:t>
            </w:r>
          </w:p>
          <w:p w:rsidR="002D368A" w:rsidRPr="00D0414F" w:rsidRDefault="002D368A" w:rsidP="009520B1">
            <w:pPr>
              <w:tabs>
                <w:tab w:val="left" w:pos="428"/>
              </w:tabs>
              <w:spacing w:after="0" w:line="240" w:lineRule="auto"/>
              <w:ind w:left="-136"/>
              <w:jc w:val="center"/>
              <w:rPr>
                <w:rFonts w:ascii="Arial" w:hAnsi="Arial" w:cs="Arial"/>
                <w:b/>
                <w:bCs/>
                <w:color w:val="000000"/>
                <w:sz w:val="24"/>
                <w:szCs w:val="24"/>
              </w:rPr>
            </w:pPr>
            <w:r w:rsidRPr="00D0414F">
              <w:rPr>
                <w:rFonts w:ascii="Arial" w:hAnsi="Arial" w:cs="Arial"/>
                <w:b/>
                <w:bCs/>
                <w:color w:val="000000"/>
                <w:sz w:val="24"/>
                <w:szCs w:val="24"/>
              </w:rPr>
              <w:t xml:space="preserve"> </w:t>
            </w:r>
          </w:p>
          <w:p w:rsidR="002D368A" w:rsidRPr="00D0414F" w:rsidRDefault="002D368A" w:rsidP="009520B1">
            <w:pPr>
              <w:tabs>
                <w:tab w:val="left" w:pos="428"/>
              </w:tabs>
              <w:spacing w:after="0" w:line="240" w:lineRule="auto"/>
              <w:ind w:left="-136"/>
              <w:jc w:val="center"/>
              <w:rPr>
                <w:rFonts w:ascii="Arial" w:hAnsi="Arial" w:cs="Arial"/>
                <w:b/>
                <w:bCs/>
                <w:color w:val="000000"/>
                <w:sz w:val="24"/>
                <w:szCs w:val="24"/>
              </w:rPr>
            </w:pPr>
            <w:r w:rsidRPr="00D0414F">
              <w:rPr>
                <w:rFonts w:ascii="Arial" w:hAnsi="Arial" w:cs="Arial"/>
                <w:b/>
                <w:bCs/>
                <w:color w:val="000000"/>
                <w:sz w:val="24"/>
                <w:szCs w:val="24"/>
              </w:rPr>
              <w:t>New</w:t>
            </w:r>
          </w:p>
        </w:tc>
        <w:tc>
          <w:tcPr>
            <w:tcW w:w="897" w:type="dxa"/>
          </w:tcPr>
          <w:p w:rsidR="002D368A" w:rsidRPr="00D0414F" w:rsidRDefault="002D368A" w:rsidP="009520B1">
            <w:pPr>
              <w:tabs>
                <w:tab w:val="left" w:pos="428"/>
              </w:tabs>
              <w:spacing w:after="0" w:line="240" w:lineRule="auto"/>
              <w:rPr>
                <w:rFonts w:ascii="Arial" w:hAnsi="Arial" w:cs="Arial"/>
                <w:b/>
                <w:bCs/>
                <w:color w:val="000000"/>
                <w:sz w:val="24"/>
                <w:szCs w:val="24"/>
              </w:rPr>
            </w:pPr>
            <w:r w:rsidRPr="00D0414F">
              <w:rPr>
                <w:rFonts w:ascii="Arial" w:hAnsi="Arial" w:cs="Arial"/>
                <w:b/>
                <w:bCs/>
                <w:color w:val="000000"/>
                <w:sz w:val="24"/>
                <w:szCs w:val="24"/>
              </w:rPr>
              <w:t>2013</w:t>
            </w:r>
          </w:p>
          <w:p w:rsidR="002D368A" w:rsidRPr="00D0414F" w:rsidRDefault="002D368A" w:rsidP="009520B1">
            <w:pPr>
              <w:tabs>
                <w:tab w:val="left" w:pos="428"/>
              </w:tabs>
              <w:spacing w:after="0" w:line="240" w:lineRule="auto"/>
              <w:rPr>
                <w:rFonts w:ascii="Arial" w:hAnsi="Arial" w:cs="Arial"/>
                <w:b/>
                <w:bCs/>
                <w:color w:val="000000"/>
                <w:sz w:val="24"/>
                <w:szCs w:val="24"/>
              </w:rPr>
            </w:pPr>
          </w:p>
          <w:p w:rsidR="002D368A" w:rsidRPr="00D0414F" w:rsidRDefault="002D368A" w:rsidP="009520B1">
            <w:pPr>
              <w:tabs>
                <w:tab w:val="left" w:pos="428"/>
              </w:tabs>
              <w:spacing w:after="0" w:line="240" w:lineRule="auto"/>
              <w:rPr>
                <w:rFonts w:ascii="Arial" w:hAnsi="Arial" w:cs="Arial"/>
                <w:b/>
                <w:bCs/>
                <w:color w:val="000000"/>
                <w:sz w:val="24"/>
                <w:szCs w:val="24"/>
              </w:rPr>
            </w:pPr>
            <w:r w:rsidRPr="00D0414F">
              <w:rPr>
                <w:rFonts w:ascii="Arial" w:hAnsi="Arial" w:cs="Arial"/>
                <w:b/>
                <w:bCs/>
                <w:color w:val="000000"/>
                <w:sz w:val="24"/>
                <w:szCs w:val="24"/>
              </w:rPr>
              <w:t>Old</w:t>
            </w:r>
          </w:p>
        </w:tc>
        <w:tc>
          <w:tcPr>
            <w:tcW w:w="898" w:type="dxa"/>
          </w:tcPr>
          <w:p w:rsidR="002D368A" w:rsidRPr="00D0414F" w:rsidRDefault="002D368A" w:rsidP="009520B1">
            <w:pPr>
              <w:tabs>
                <w:tab w:val="left" w:pos="428"/>
              </w:tabs>
              <w:spacing w:after="0" w:line="240" w:lineRule="auto"/>
              <w:ind w:left="-136"/>
              <w:jc w:val="center"/>
              <w:rPr>
                <w:rFonts w:ascii="Arial" w:hAnsi="Arial" w:cs="Arial"/>
                <w:b/>
                <w:bCs/>
                <w:color w:val="000000"/>
                <w:sz w:val="24"/>
                <w:szCs w:val="24"/>
              </w:rPr>
            </w:pPr>
            <w:r w:rsidRPr="00D0414F">
              <w:rPr>
                <w:rFonts w:ascii="Arial" w:hAnsi="Arial" w:cs="Arial"/>
                <w:b/>
                <w:bCs/>
                <w:color w:val="000000"/>
                <w:sz w:val="24"/>
                <w:szCs w:val="24"/>
              </w:rPr>
              <w:t>2013</w:t>
            </w:r>
          </w:p>
          <w:p w:rsidR="002D368A" w:rsidRPr="00D0414F" w:rsidRDefault="002D368A" w:rsidP="009520B1">
            <w:pPr>
              <w:tabs>
                <w:tab w:val="left" w:pos="428"/>
              </w:tabs>
              <w:spacing w:after="0" w:line="240" w:lineRule="auto"/>
              <w:ind w:left="-136"/>
              <w:jc w:val="center"/>
              <w:rPr>
                <w:rFonts w:ascii="Arial" w:hAnsi="Arial" w:cs="Arial"/>
                <w:b/>
                <w:bCs/>
                <w:color w:val="000000"/>
                <w:sz w:val="24"/>
                <w:szCs w:val="24"/>
              </w:rPr>
            </w:pPr>
          </w:p>
          <w:p w:rsidR="002D368A" w:rsidRPr="00D0414F" w:rsidRDefault="002D368A" w:rsidP="009520B1">
            <w:pPr>
              <w:tabs>
                <w:tab w:val="left" w:pos="428"/>
              </w:tabs>
              <w:spacing w:after="0" w:line="240" w:lineRule="auto"/>
              <w:rPr>
                <w:rFonts w:ascii="Arial" w:hAnsi="Arial" w:cs="Arial"/>
                <w:b/>
                <w:bCs/>
                <w:color w:val="000000"/>
                <w:sz w:val="24"/>
                <w:szCs w:val="24"/>
              </w:rPr>
            </w:pPr>
            <w:r w:rsidRPr="00D0414F">
              <w:rPr>
                <w:rFonts w:ascii="Arial" w:hAnsi="Arial" w:cs="Arial"/>
                <w:b/>
                <w:bCs/>
                <w:color w:val="000000"/>
                <w:sz w:val="24"/>
                <w:szCs w:val="24"/>
              </w:rPr>
              <w:t>New</w:t>
            </w:r>
          </w:p>
        </w:tc>
        <w:tc>
          <w:tcPr>
            <w:tcW w:w="1530" w:type="dxa"/>
          </w:tcPr>
          <w:p w:rsidR="002D368A" w:rsidRPr="00D0414F" w:rsidRDefault="002D368A" w:rsidP="009520B1">
            <w:pPr>
              <w:jc w:val="center"/>
              <w:rPr>
                <w:rFonts w:ascii="Arial" w:hAnsi="Arial" w:cs="Arial"/>
                <w:b/>
                <w:bCs/>
                <w:color w:val="000000"/>
                <w:sz w:val="24"/>
                <w:szCs w:val="24"/>
              </w:rPr>
            </w:pPr>
            <w:r w:rsidRPr="00D0414F">
              <w:rPr>
                <w:rFonts w:ascii="Arial" w:hAnsi="Arial" w:cs="Arial"/>
                <w:b/>
                <w:bCs/>
                <w:color w:val="000000"/>
                <w:sz w:val="24"/>
                <w:szCs w:val="24"/>
              </w:rPr>
              <w:t>Totals</w:t>
            </w:r>
          </w:p>
        </w:tc>
      </w:tr>
      <w:tr w:rsidR="002D368A" w:rsidRPr="00D0414F" w:rsidTr="009520B1">
        <w:tc>
          <w:tcPr>
            <w:tcW w:w="1584" w:type="dxa"/>
            <w:shd w:val="clear" w:color="auto" w:fill="C0C0C0"/>
          </w:tcPr>
          <w:p w:rsidR="002D368A" w:rsidRPr="00D0414F" w:rsidRDefault="002D368A" w:rsidP="009520B1">
            <w:pPr>
              <w:jc w:val="both"/>
              <w:rPr>
                <w:rFonts w:ascii="Arial" w:hAnsi="Arial" w:cs="Arial"/>
                <w:b/>
                <w:bCs/>
                <w:color w:val="000000"/>
                <w:sz w:val="24"/>
                <w:szCs w:val="24"/>
              </w:rPr>
            </w:pPr>
            <w:r w:rsidRPr="00D0414F">
              <w:rPr>
                <w:rFonts w:ascii="Arial" w:hAnsi="Arial" w:cs="Arial"/>
                <w:b/>
                <w:bCs/>
                <w:color w:val="000000"/>
                <w:sz w:val="24"/>
                <w:szCs w:val="24"/>
              </w:rPr>
              <w:t xml:space="preserve"> No. Cases</w:t>
            </w:r>
          </w:p>
          <w:p w:rsidR="002D368A" w:rsidRPr="00D0414F" w:rsidRDefault="002D368A" w:rsidP="009520B1">
            <w:pPr>
              <w:jc w:val="both"/>
              <w:rPr>
                <w:rFonts w:ascii="Arial" w:hAnsi="Arial" w:cs="Arial"/>
                <w:b/>
                <w:bCs/>
                <w:color w:val="000000"/>
                <w:sz w:val="24"/>
                <w:szCs w:val="24"/>
              </w:rPr>
            </w:pPr>
            <w:r w:rsidRPr="00D0414F">
              <w:rPr>
                <w:rFonts w:ascii="Arial" w:hAnsi="Arial" w:cs="Arial"/>
                <w:b/>
                <w:bCs/>
                <w:color w:val="000000"/>
                <w:sz w:val="24"/>
                <w:szCs w:val="24"/>
              </w:rPr>
              <w:t>Patient days</w:t>
            </w:r>
          </w:p>
          <w:p w:rsidR="002D368A" w:rsidRPr="00D0414F" w:rsidRDefault="002D368A" w:rsidP="009520B1">
            <w:pPr>
              <w:jc w:val="both"/>
              <w:rPr>
                <w:rFonts w:ascii="Arial" w:hAnsi="Arial" w:cs="Arial"/>
                <w:b/>
                <w:bCs/>
                <w:color w:val="000000"/>
                <w:sz w:val="24"/>
                <w:szCs w:val="24"/>
              </w:rPr>
            </w:pPr>
            <w:r w:rsidRPr="00D0414F">
              <w:rPr>
                <w:rFonts w:ascii="Arial" w:hAnsi="Arial" w:cs="Arial"/>
                <w:b/>
                <w:bCs/>
                <w:color w:val="000000"/>
                <w:sz w:val="24"/>
                <w:szCs w:val="24"/>
              </w:rPr>
              <w:t>Average LOS (days)</w:t>
            </w:r>
          </w:p>
        </w:tc>
        <w:tc>
          <w:tcPr>
            <w:tcW w:w="822" w:type="dxa"/>
            <w:shd w:val="clear" w:color="auto" w:fill="C0C0C0"/>
          </w:tcPr>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186</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3276</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17.6</w:t>
            </w:r>
          </w:p>
        </w:tc>
        <w:tc>
          <w:tcPr>
            <w:tcW w:w="898" w:type="dxa"/>
            <w:shd w:val="clear" w:color="auto" w:fill="C0C0C0"/>
          </w:tcPr>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321</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4615</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14.4</w:t>
            </w:r>
          </w:p>
        </w:tc>
        <w:tc>
          <w:tcPr>
            <w:tcW w:w="897" w:type="dxa"/>
            <w:shd w:val="clear" w:color="auto" w:fill="C0C0C0"/>
          </w:tcPr>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209</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3736</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17.9</w:t>
            </w:r>
          </w:p>
        </w:tc>
        <w:tc>
          <w:tcPr>
            <w:tcW w:w="898" w:type="dxa"/>
            <w:shd w:val="clear" w:color="auto" w:fill="C0C0C0"/>
          </w:tcPr>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243</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3302</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13.6</w:t>
            </w:r>
          </w:p>
        </w:tc>
        <w:tc>
          <w:tcPr>
            <w:tcW w:w="897" w:type="dxa"/>
            <w:shd w:val="clear" w:color="auto" w:fill="C0C0C0"/>
          </w:tcPr>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214</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4057</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19.0</w:t>
            </w:r>
          </w:p>
          <w:p w:rsidR="002D368A" w:rsidRPr="00D0414F" w:rsidRDefault="002D368A" w:rsidP="009520B1">
            <w:pPr>
              <w:jc w:val="center"/>
              <w:rPr>
                <w:rFonts w:ascii="Arial" w:hAnsi="Arial" w:cs="Arial"/>
                <w:color w:val="000000"/>
                <w:sz w:val="24"/>
                <w:szCs w:val="24"/>
              </w:rPr>
            </w:pPr>
          </w:p>
        </w:tc>
        <w:tc>
          <w:tcPr>
            <w:tcW w:w="898" w:type="dxa"/>
            <w:shd w:val="clear" w:color="auto" w:fill="C0C0C0"/>
          </w:tcPr>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274</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3571</w:t>
            </w:r>
          </w:p>
          <w:p w:rsidR="002D368A" w:rsidRPr="00D0414F" w:rsidRDefault="002D368A" w:rsidP="009520B1">
            <w:pPr>
              <w:jc w:val="center"/>
              <w:rPr>
                <w:rFonts w:ascii="Arial" w:hAnsi="Arial" w:cs="Arial"/>
                <w:color w:val="000000"/>
                <w:sz w:val="24"/>
                <w:szCs w:val="24"/>
              </w:rPr>
            </w:pPr>
            <w:r w:rsidRPr="00D0414F">
              <w:rPr>
                <w:rFonts w:ascii="Arial" w:hAnsi="Arial" w:cs="Arial"/>
                <w:color w:val="000000"/>
                <w:sz w:val="24"/>
                <w:szCs w:val="24"/>
              </w:rPr>
              <w:t>13.0</w:t>
            </w:r>
          </w:p>
        </w:tc>
        <w:tc>
          <w:tcPr>
            <w:tcW w:w="1530" w:type="dxa"/>
            <w:shd w:val="clear" w:color="auto" w:fill="C0C0C0"/>
          </w:tcPr>
          <w:p w:rsidR="002D368A" w:rsidRPr="00D0414F" w:rsidRDefault="002D368A" w:rsidP="009520B1">
            <w:pPr>
              <w:jc w:val="center"/>
              <w:rPr>
                <w:rFonts w:ascii="Arial" w:hAnsi="Arial" w:cs="Arial"/>
                <w:b/>
                <w:color w:val="000000"/>
                <w:sz w:val="24"/>
                <w:szCs w:val="24"/>
              </w:rPr>
            </w:pPr>
            <w:r w:rsidRPr="00D0414F">
              <w:rPr>
                <w:rFonts w:ascii="Arial" w:hAnsi="Arial" w:cs="Arial"/>
                <w:b/>
                <w:color w:val="000000"/>
                <w:sz w:val="24"/>
                <w:szCs w:val="24"/>
              </w:rPr>
              <w:t>1447</w:t>
            </w:r>
          </w:p>
          <w:p w:rsidR="002D368A" w:rsidRPr="00D0414F" w:rsidRDefault="002D368A" w:rsidP="009520B1">
            <w:pPr>
              <w:jc w:val="center"/>
              <w:rPr>
                <w:rFonts w:ascii="Arial" w:hAnsi="Arial" w:cs="Arial"/>
                <w:b/>
                <w:color w:val="000000"/>
                <w:sz w:val="24"/>
                <w:szCs w:val="24"/>
              </w:rPr>
            </w:pPr>
            <w:r w:rsidRPr="00D0414F">
              <w:rPr>
                <w:rFonts w:ascii="Arial" w:hAnsi="Arial" w:cs="Arial"/>
                <w:b/>
                <w:color w:val="000000"/>
                <w:sz w:val="24"/>
                <w:szCs w:val="24"/>
              </w:rPr>
              <w:t>22,557 days</w:t>
            </w:r>
          </w:p>
          <w:p w:rsidR="002D368A" w:rsidRPr="00D0414F" w:rsidRDefault="002D368A" w:rsidP="009520B1">
            <w:pPr>
              <w:jc w:val="center"/>
              <w:rPr>
                <w:rFonts w:ascii="Arial" w:hAnsi="Arial" w:cs="Arial"/>
                <w:color w:val="000000"/>
                <w:sz w:val="24"/>
                <w:szCs w:val="24"/>
              </w:rPr>
            </w:pPr>
            <w:r w:rsidRPr="00D0414F">
              <w:rPr>
                <w:rFonts w:ascii="Arial" w:hAnsi="Arial" w:cs="Arial"/>
                <w:b/>
                <w:color w:val="000000"/>
                <w:sz w:val="24"/>
                <w:szCs w:val="24"/>
              </w:rPr>
              <w:t>15.6 days</w:t>
            </w:r>
          </w:p>
        </w:tc>
      </w:tr>
    </w:tbl>
    <w:p w:rsidR="002D368A" w:rsidRPr="00D0414F" w:rsidRDefault="002D368A" w:rsidP="002D368A">
      <w:pPr>
        <w:spacing w:line="480" w:lineRule="auto"/>
        <w:jc w:val="both"/>
        <w:rPr>
          <w:rFonts w:ascii="Arial" w:hAnsi="Arial" w:cs="Arial"/>
          <w:sz w:val="24"/>
          <w:szCs w:val="24"/>
        </w:rPr>
      </w:pPr>
    </w:p>
    <w:p w:rsidR="002D368A" w:rsidRPr="00D0414F" w:rsidRDefault="002D368A" w:rsidP="002D368A">
      <w:pPr>
        <w:spacing w:after="0" w:line="480" w:lineRule="auto"/>
        <w:rPr>
          <w:rFonts w:ascii="Arial" w:hAnsi="Arial" w:cs="Arial"/>
          <w:sz w:val="24"/>
          <w:szCs w:val="24"/>
        </w:rPr>
      </w:pPr>
      <w:r w:rsidRPr="00D0414F">
        <w:rPr>
          <w:rFonts w:ascii="Arial" w:hAnsi="Arial" w:cs="Arial"/>
          <w:sz w:val="24"/>
          <w:szCs w:val="24"/>
        </w:rPr>
        <w:t>1447 cases out of total 4598 MRSA screen-positive cases detected = 31.5% from ILTC Sector</w:t>
      </w:r>
    </w:p>
    <w:p w:rsidR="002D368A" w:rsidRPr="00D0414F" w:rsidRDefault="002D368A" w:rsidP="002D368A">
      <w:pPr>
        <w:spacing w:after="0" w:line="480" w:lineRule="auto"/>
        <w:rPr>
          <w:rFonts w:ascii="Arial" w:hAnsi="Arial" w:cs="Arial"/>
          <w:sz w:val="24"/>
          <w:szCs w:val="24"/>
        </w:rPr>
      </w:pPr>
      <w:r w:rsidRPr="00D0414F">
        <w:rPr>
          <w:rFonts w:ascii="Arial" w:hAnsi="Arial" w:cs="Arial"/>
          <w:sz w:val="24"/>
          <w:szCs w:val="24"/>
        </w:rPr>
        <w:t>Old = cases with previously known MRSA</w:t>
      </w:r>
    </w:p>
    <w:p w:rsidR="002D368A" w:rsidRPr="00D0414F" w:rsidRDefault="002D368A" w:rsidP="002D368A">
      <w:pPr>
        <w:spacing w:after="0" w:line="480" w:lineRule="auto"/>
        <w:rPr>
          <w:rFonts w:ascii="Arial" w:hAnsi="Arial" w:cs="Arial"/>
          <w:sz w:val="24"/>
          <w:szCs w:val="24"/>
        </w:rPr>
      </w:pPr>
      <w:r w:rsidRPr="00D0414F">
        <w:rPr>
          <w:rFonts w:ascii="Arial" w:hAnsi="Arial" w:cs="Arial"/>
          <w:sz w:val="24"/>
          <w:szCs w:val="24"/>
        </w:rPr>
        <w:t xml:space="preserve">New = cases with no previously known MRSA    </w:t>
      </w:r>
    </w:p>
    <w:p w:rsidR="002D368A" w:rsidRPr="00D0414F" w:rsidRDefault="002D368A" w:rsidP="002D368A">
      <w:pPr>
        <w:spacing w:line="480" w:lineRule="auto"/>
        <w:jc w:val="both"/>
        <w:rPr>
          <w:rFonts w:ascii="Arial" w:hAnsi="Arial" w:cs="Arial"/>
          <w:sz w:val="24"/>
          <w:szCs w:val="24"/>
        </w:rPr>
      </w:pPr>
      <w:r w:rsidRPr="00D0414F">
        <w:rPr>
          <w:rFonts w:ascii="Arial" w:hAnsi="Arial" w:cs="Arial"/>
          <w:sz w:val="24"/>
          <w:szCs w:val="24"/>
        </w:rPr>
        <w:t>*Cases from the ILTC (Intermediate and Long-Term Care) sector include those transferred from Nursing Homes (1120 cases = 77.4%), Community (Rehabilitation) Hospitals (233 cases = 16.1%), and long-term residents from the Institute of Mental Health (94 cases = 6.5%)</w:t>
      </w:r>
    </w:p>
    <w:p w:rsidR="002D368A" w:rsidRDefault="002D368A" w:rsidP="002D368A">
      <w:pPr>
        <w:ind w:firstLine="720"/>
        <w:rPr>
          <w:rFonts w:ascii="Times New Roman" w:hAnsi="Times New Roman"/>
          <w:b/>
          <w:sz w:val="24"/>
          <w:szCs w:val="24"/>
        </w:rPr>
      </w:pPr>
    </w:p>
    <w:p w:rsidR="009520B1" w:rsidRDefault="009520B1"/>
    <w:sectPr w:rsidR="009520B1" w:rsidSect="00AC72BA">
      <w:footerReference w:type="default" r:id="rId26"/>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11" w:rsidRDefault="00983B11" w:rsidP="002D368A">
      <w:pPr>
        <w:spacing w:after="0" w:line="240" w:lineRule="auto"/>
      </w:pPr>
      <w:r>
        <w:separator/>
      </w:r>
    </w:p>
  </w:endnote>
  <w:endnote w:type="continuationSeparator" w:id="0">
    <w:p w:rsidR="00983B11" w:rsidRDefault="00983B11" w:rsidP="002D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08249"/>
      <w:docPartObj>
        <w:docPartGallery w:val="Page Numbers (Bottom of Page)"/>
        <w:docPartUnique/>
      </w:docPartObj>
    </w:sdtPr>
    <w:sdtEndPr/>
    <w:sdtContent>
      <w:p w:rsidR="009520B1" w:rsidRDefault="001576F7">
        <w:pPr>
          <w:pStyle w:val="Footer"/>
          <w:jc w:val="center"/>
        </w:pPr>
        <w:r>
          <w:fldChar w:fldCharType="begin"/>
        </w:r>
        <w:r>
          <w:instrText xml:space="preserve"> PAGE   \* MERGEFORMAT </w:instrText>
        </w:r>
        <w:r>
          <w:fldChar w:fldCharType="separate"/>
        </w:r>
        <w:r w:rsidR="00F776B6">
          <w:rPr>
            <w:noProof/>
          </w:rPr>
          <w:t>12</w:t>
        </w:r>
        <w:r>
          <w:rPr>
            <w:noProof/>
          </w:rPr>
          <w:fldChar w:fldCharType="end"/>
        </w:r>
      </w:p>
    </w:sdtContent>
  </w:sdt>
  <w:p w:rsidR="009520B1" w:rsidRDefault="00952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11" w:rsidRDefault="00983B11" w:rsidP="002D368A">
      <w:pPr>
        <w:spacing w:after="0" w:line="240" w:lineRule="auto"/>
      </w:pPr>
      <w:r>
        <w:separator/>
      </w:r>
    </w:p>
  </w:footnote>
  <w:footnote w:type="continuationSeparator" w:id="0">
    <w:p w:rsidR="00983B11" w:rsidRDefault="00983B11" w:rsidP="002D3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059D"/>
    <w:multiLevelType w:val="hybridMultilevel"/>
    <w:tmpl w:val="96FCDCCA"/>
    <w:lvl w:ilvl="0" w:tplc="D2185A5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D1ADE"/>
    <w:multiLevelType w:val="hybridMultilevel"/>
    <w:tmpl w:val="AB566FA6"/>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8A"/>
    <w:rsid w:val="00011040"/>
    <w:rsid w:val="000B0A44"/>
    <w:rsid w:val="000D3147"/>
    <w:rsid w:val="000E560B"/>
    <w:rsid w:val="000E6610"/>
    <w:rsid w:val="001576F7"/>
    <w:rsid w:val="001A64F3"/>
    <w:rsid w:val="001A75D6"/>
    <w:rsid w:val="001D3065"/>
    <w:rsid w:val="002022E7"/>
    <w:rsid w:val="002B2184"/>
    <w:rsid w:val="002D368A"/>
    <w:rsid w:val="00311465"/>
    <w:rsid w:val="00345097"/>
    <w:rsid w:val="00366F58"/>
    <w:rsid w:val="003B4CDD"/>
    <w:rsid w:val="003C4593"/>
    <w:rsid w:val="00401FBF"/>
    <w:rsid w:val="004151F3"/>
    <w:rsid w:val="004175F4"/>
    <w:rsid w:val="00417CE6"/>
    <w:rsid w:val="00472BB1"/>
    <w:rsid w:val="004E05B2"/>
    <w:rsid w:val="0053221B"/>
    <w:rsid w:val="005B2E9E"/>
    <w:rsid w:val="005C089B"/>
    <w:rsid w:val="005C0F8C"/>
    <w:rsid w:val="005D4FE0"/>
    <w:rsid w:val="005F0257"/>
    <w:rsid w:val="005F334F"/>
    <w:rsid w:val="00615712"/>
    <w:rsid w:val="0062784C"/>
    <w:rsid w:val="00652F81"/>
    <w:rsid w:val="00663B2D"/>
    <w:rsid w:val="006B4759"/>
    <w:rsid w:val="0070014A"/>
    <w:rsid w:val="00747D85"/>
    <w:rsid w:val="00764131"/>
    <w:rsid w:val="0077184E"/>
    <w:rsid w:val="00780611"/>
    <w:rsid w:val="00781234"/>
    <w:rsid w:val="007C2747"/>
    <w:rsid w:val="007D11D4"/>
    <w:rsid w:val="007E21E7"/>
    <w:rsid w:val="0081436B"/>
    <w:rsid w:val="00845F0A"/>
    <w:rsid w:val="008A18F2"/>
    <w:rsid w:val="008E0443"/>
    <w:rsid w:val="008E5E67"/>
    <w:rsid w:val="00903FBF"/>
    <w:rsid w:val="00920B64"/>
    <w:rsid w:val="00930095"/>
    <w:rsid w:val="009520B1"/>
    <w:rsid w:val="009551E2"/>
    <w:rsid w:val="0097287E"/>
    <w:rsid w:val="00983B11"/>
    <w:rsid w:val="00990381"/>
    <w:rsid w:val="009D5722"/>
    <w:rsid w:val="00A07356"/>
    <w:rsid w:val="00A13566"/>
    <w:rsid w:val="00A23AB5"/>
    <w:rsid w:val="00A40248"/>
    <w:rsid w:val="00A66BFF"/>
    <w:rsid w:val="00A94A43"/>
    <w:rsid w:val="00AA5974"/>
    <w:rsid w:val="00AA659E"/>
    <w:rsid w:val="00AC72BA"/>
    <w:rsid w:val="00AE01E3"/>
    <w:rsid w:val="00AE0260"/>
    <w:rsid w:val="00AF77D7"/>
    <w:rsid w:val="00B1773E"/>
    <w:rsid w:val="00B2488C"/>
    <w:rsid w:val="00B34EC9"/>
    <w:rsid w:val="00B41258"/>
    <w:rsid w:val="00B60614"/>
    <w:rsid w:val="00B929EA"/>
    <w:rsid w:val="00BB7EFA"/>
    <w:rsid w:val="00BE04CA"/>
    <w:rsid w:val="00BE0C0D"/>
    <w:rsid w:val="00BF3F7A"/>
    <w:rsid w:val="00C054F8"/>
    <w:rsid w:val="00C43737"/>
    <w:rsid w:val="00C52576"/>
    <w:rsid w:val="00C617B9"/>
    <w:rsid w:val="00C75FAF"/>
    <w:rsid w:val="00C94DD1"/>
    <w:rsid w:val="00CE5210"/>
    <w:rsid w:val="00D0414F"/>
    <w:rsid w:val="00D541E3"/>
    <w:rsid w:val="00D61D24"/>
    <w:rsid w:val="00D85FCA"/>
    <w:rsid w:val="00DA5E07"/>
    <w:rsid w:val="00DA6EAC"/>
    <w:rsid w:val="00E16254"/>
    <w:rsid w:val="00E61EBE"/>
    <w:rsid w:val="00EB6E82"/>
    <w:rsid w:val="00F776B6"/>
    <w:rsid w:val="00F9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8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D368A"/>
    <w:rPr>
      <w:sz w:val="20"/>
      <w:szCs w:val="20"/>
    </w:rPr>
  </w:style>
  <w:style w:type="character" w:customStyle="1" w:styleId="EndnoteTextChar">
    <w:name w:val="Endnote Text Char"/>
    <w:basedOn w:val="DefaultParagraphFont"/>
    <w:link w:val="EndnoteText"/>
    <w:uiPriority w:val="99"/>
    <w:semiHidden/>
    <w:rsid w:val="002D368A"/>
    <w:rPr>
      <w:rFonts w:ascii="Calibri" w:eastAsia="Calibri" w:hAnsi="Calibri" w:cs="Times New Roman"/>
      <w:sz w:val="20"/>
      <w:szCs w:val="20"/>
      <w:lang w:eastAsia="en-US"/>
    </w:rPr>
  </w:style>
  <w:style w:type="character" w:styleId="EndnoteReference">
    <w:name w:val="endnote reference"/>
    <w:basedOn w:val="DefaultParagraphFont"/>
    <w:uiPriority w:val="99"/>
    <w:semiHidden/>
    <w:unhideWhenUsed/>
    <w:rsid w:val="002D368A"/>
    <w:rPr>
      <w:vertAlign w:val="superscript"/>
    </w:rPr>
  </w:style>
  <w:style w:type="paragraph" w:customStyle="1" w:styleId="authors4">
    <w:name w:val="authors4"/>
    <w:basedOn w:val="Normal"/>
    <w:rsid w:val="002D368A"/>
    <w:pPr>
      <w:spacing w:after="0" w:line="360" w:lineRule="atLeast"/>
    </w:pPr>
    <w:rPr>
      <w:rFonts w:ascii="Times New Roman" w:eastAsia="Times New Roman" w:hAnsi="Times New Roman"/>
      <w:color w:val="666666"/>
      <w:sz w:val="17"/>
      <w:szCs w:val="17"/>
    </w:rPr>
  </w:style>
  <w:style w:type="character" w:customStyle="1" w:styleId="st1">
    <w:name w:val="st1"/>
    <w:basedOn w:val="DefaultParagraphFont"/>
    <w:rsid w:val="002D368A"/>
  </w:style>
  <w:style w:type="paragraph" w:styleId="FootnoteText">
    <w:name w:val="footnote text"/>
    <w:basedOn w:val="Normal"/>
    <w:link w:val="FootnoteTextChar"/>
    <w:uiPriority w:val="99"/>
    <w:semiHidden/>
    <w:unhideWhenUsed/>
    <w:rsid w:val="002D3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68A"/>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D368A"/>
    <w:rPr>
      <w:vertAlign w:val="superscript"/>
    </w:rPr>
  </w:style>
  <w:style w:type="paragraph" w:styleId="Header">
    <w:name w:val="header"/>
    <w:basedOn w:val="Normal"/>
    <w:link w:val="HeaderChar"/>
    <w:uiPriority w:val="99"/>
    <w:semiHidden/>
    <w:unhideWhenUsed/>
    <w:rsid w:val="00472B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BB1"/>
    <w:rPr>
      <w:rFonts w:ascii="Calibri" w:eastAsia="Calibri" w:hAnsi="Calibri" w:cs="Times New Roman"/>
      <w:lang w:eastAsia="en-US"/>
    </w:rPr>
  </w:style>
  <w:style w:type="paragraph" w:styleId="Footer">
    <w:name w:val="footer"/>
    <w:basedOn w:val="Normal"/>
    <w:link w:val="FooterChar"/>
    <w:uiPriority w:val="99"/>
    <w:unhideWhenUsed/>
    <w:rsid w:val="0047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B1"/>
    <w:rPr>
      <w:rFonts w:ascii="Calibri" w:eastAsia="Calibri" w:hAnsi="Calibri" w:cs="Times New Roman"/>
      <w:lang w:eastAsia="en-US"/>
    </w:rPr>
  </w:style>
  <w:style w:type="paragraph" w:styleId="ListParagraph">
    <w:name w:val="List Paragraph"/>
    <w:basedOn w:val="Normal"/>
    <w:uiPriority w:val="34"/>
    <w:qFormat/>
    <w:rsid w:val="00E61EBE"/>
    <w:pPr>
      <w:ind w:left="720"/>
      <w:contextualSpacing/>
    </w:pPr>
  </w:style>
  <w:style w:type="paragraph" w:styleId="BalloonText">
    <w:name w:val="Balloon Text"/>
    <w:basedOn w:val="Normal"/>
    <w:link w:val="BalloonTextChar"/>
    <w:uiPriority w:val="99"/>
    <w:semiHidden/>
    <w:unhideWhenUsed/>
    <w:rsid w:val="0065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81"/>
    <w:rPr>
      <w:rFonts w:ascii="Tahoma" w:eastAsia="Calibri" w:hAnsi="Tahoma" w:cs="Tahoma"/>
      <w:sz w:val="16"/>
      <w:szCs w:val="16"/>
      <w:lang w:eastAsia="en-US"/>
    </w:rPr>
  </w:style>
  <w:style w:type="table" w:styleId="TableGrid">
    <w:name w:val="Table Grid"/>
    <w:basedOn w:val="TableNormal"/>
    <w:uiPriority w:val="59"/>
    <w:rsid w:val="0065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5B2"/>
    <w:rPr>
      <w:color w:val="0000FF" w:themeColor="hyperlink"/>
      <w:u w:val="single"/>
    </w:rPr>
  </w:style>
  <w:style w:type="character" w:styleId="FollowedHyperlink">
    <w:name w:val="FollowedHyperlink"/>
    <w:basedOn w:val="DefaultParagraphFont"/>
    <w:uiPriority w:val="99"/>
    <w:semiHidden/>
    <w:unhideWhenUsed/>
    <w:rsid w:val="00F77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8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D368A"/>
    <w:rPr>
      <w:sz w:val="20"/>
      <w:szCs w:val="20"/>
    </w:rPr>
  </w:style>
  <w:style w:type="character" w:customStyle="1" w:styleId="EndnoteTextChar">
    <w:name w:val="Endnote Text Char"/>
    <w:basedOn w:val="DefaultParagraphFont"/>
    <w:link w:val="EndnoteText"/>
    <w:uiPriority w:val="99"/>
    <w:semiHidden/>
    <w:rsid w:val="002D368A"/>
    <w:rPr>
      <w:rFonts w:ascii="Calibri" w:eastAsia="Calibri" w:hAnsi="Calibri" w:cs="Times New Roman"/>
      <w:sz w:val="20"/>
      <w:szCs w:val="20"/>
      <w:lang w:eastAsia="en-US"/>
    </w:rPr>
  </w:style>
  <w:style w:type="character" w:styleId="EndnoteReference">
    <w:name w:val="endnote reference"/>
    <w:basedOn w:val="DefaultParagraphFont"/>
    <w:uiPriority w:val="99"/>
    <w:semiHidden/>
    <w:unhideWhenUsed/>
    <w:rsid w:val="002D368A"/>
    <w:rPr>
      <w:vertAlign w:val="superscript"/>
    </w:rPr>
  </w:style>
  <w:style w:type="paragraph" w:customStyle="1" w:styleId="authors4">
    <w:name w:val="authors4"/>
    <w:basedOn w:val="Normal"/>
    <w:rsid w:val="002D368A"/>
    <w:pPr>
      <w:spacing w:after="0" w:line="360" w:lineRule="atLeast"/>
    </w:pPr>
    <w:rPr>
      <w:rFonts w:ascii="Times New Roman" w:eastAsia="Times New Roman" w:hAnsi="Times New Roman"/>
      <w:color w:val="666666"/>
      <w:sz w:val="17"/>
      <w:szCs w:val="17"/>
    </w:rPr>
  </w:style>
  <w:style w:type="character" w:customStyle="1" w:styleId="st1">
    <w:name w:val="st1"/>
    <w:basedOn w:val="DefaultParagraphFont"/>
    <w:rsid w:val="002D368A"/>
  </w:style>
  <w:style w:type="paragraph" w:styleId="FootnoteText">
    <w:name w:val="footnote text"/>
    <w:basedOn w:val="Normal"/>
    <w:link w:val="FootnoteTextChar"/>
    <w:uiPriority w:val="99"/>
    <w:semiHidden/>
    <w:unhideWhenUsed/>
    <w:rsid w:val="002D3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68A"/>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D368A"/>
    <w:rPr>
      <w:vertAlign w:val="superscript"/>
    </w:rPr>
  </w:style>
  <w:style w:type="paragraph" w:styleId="Header">
    <w:name w:val="header"/>
    <w:basedOn w:val="Normal"/>
    <w:link w:val="HeaderChar"/>
    <w:uiPriority w:val="99"/>
    <w:semiHidden/>
    <w:unhideWhenUsed/>
    <w:rsid w:val="00472B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BB1"/>
    <w:rPr>
      <w:rFonts w:ascii="Calibri" w:eastAsia="Calibri" w:hAnsi="Calibri" w:cs="Times New Roman"/>
      <w:lang w:eastAsia="en-US"/>
    </w:rPr>
  </w:style>
  <w:style w:type="paragraph" w:styleId="Footer">
    <w:name w:val="footer"/>
    <w:basedOn w:val="Normal"/>
    <w:link w:val="FooterChar"/>
    <w:uiPriority w:val="99"/>
    <w:unhideWhenUsed/>
    <w:rsid w:val="0047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B1"/>
    <w:rPr>
      <w:rFonts w:ascii="Calibri" w:eastAsia="Calibri" w:hAnsi="Calibri" w:cs="Times New Roman"/>
      <w:lang w:eastAsia="en-US"/>
    </w:rPr>
  </w:style>
  <w:style w:type="paragraph" w:styleId="ListParagraph">
    <w:name w:val="List Paragraph"/>
    <w:basedOn w:val="Normal"/>
    <w:uiPriority w:val="34"/>
    <w:qFormat/>
    <w:rsid w:val="00E61EBE"/>
    <w:pPr>
      <w:ind w:left="720"/>
      <w:contextualSpacing/>
    </w:pPr>
  </w:style>
  <w:style w:type="paragraph" w:styleId="BalloonText">
    <w:name w:val="Balloon Text"/>
    <w:basedOn w:val="Normal"/>
    <w:link w:val="BalloonTextChar"/>
    <w:uiPriority w:val="99"/>
    <w:semiHidden/>
    <w:unhideWhenUsed/>
    <w:rsid w:val="0065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81"/>
    <w:rPr>
      <w:rFonts w:ascii="Tahoma" w:eastAsia="Calibri" w:hAnsi="Tahoma" w:cs="Tahoma"/>
      <w:sz w:val="16"/>
      <w:szCs w:val="16"/>
      <w:lang w:eastAsia="en-US"/>
    </w:rPr>
  </w:style>
  <w:style w:type="table" w:styleId="TableGrid">
    <w:name w:val="Table Grid"/>
    <w:basedOn w:val="TableNormal"/>
    <w:uiPriority w:val="59"/>
    <w:rsid w:val="00652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5B2"/>
    <w:rPr>
      <w:color w:val="0000FF" w:themeColor="hyperlink"/>
      <w:u w:val="single"/>
    </w:rPr>
  </w:style>
  <w:style w:type="character" w:styleId="FollowedHyperlink">
    <w:name w:val="FollowedHyperlink"/>
    <w:basedOn w:val="DefaultParagraphFont"/>
    <w:uiPriority w:val="99"/>
    <w:semiHidden/>
    <w:unhideWhenUsed/>
    <w:rsid w:val="00F77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2314063" TargetMode="External"/><Relationship Id="rId18" Type="http://schemas.openxmlformats.org/officeDocument/2006/relationships/hyperlink" Target="http://www.ncbi.nlm.nih.gov/pubmed/193842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15912075" TargetMode="External"/><Relationship Id="rId7" Type="http://schemas.openxmlformats.org/officeDocument/2006/relationships/footnotes" Target="footnotes.xml"/><Relationship Id="rId12" Type="http://schemas.openxmlformats.org/officeDocument/2006/relationships/hyperlink" Target="http://www.ncbi.nlm.nih.gov/pubmed?term=Safdar%20N%5BAuthor%5D&amp;cauthor=true&amp;cauthor_uid=22314063" TargetMode="External"/><Relationship Id="rId17" Type="http://schemas.openxmlformats.org/officeDocument/2006/relationships/hyperlink" Target="http://www.ncbi.nlm.nih.gov/pubmed?term=Zuccotti%20G%5BAuthor%5D&amp;cauthor=true&amp;cauthor_uid=19384220" TargetMode="External"/><Relationship Id="rId25" Type="http://schemas.openxmlformats.org/officeDocument/2006/relationships/hyperlink" Target="https://idsa.confex.com/idsa/2011/webprogram/Paper31331.html" TargetMode="External"/><Relationship Id="rId2" Type="http://schemas.openxmlformats.org/officeDocument/2006/relationships/numbering" Target="numbering.xml"/><Relationship Id="rId16" Type="http://schemas.openxmlformats.org/officeDocument/2006/relationships/hyperlink" Target="http://www.ncbi.nlm.nih.gov/pubmed?term=Sepkowitz%20KA%5BAuthor%5D&amp;cauthor=true&amp;cauthor_uid=19384220" TargetMode="External"/><Relationship Id="rId20" Type="http://schemas.openxmlformats.org/officeDocument/2006/relationships/hyperlink" Target="http://www.ncbi.nlm.nih.gov/pubmed/230418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Munoz-Price%20LS%5BAuthor%5D&amp;cauthor=true&amp;cauthor_uid=22314063" TargetMode="External"/><Relationship Id="rId24" Type="http://schemas.openxmlformats.org/officeDocument/2006/relationships/hyperlink" Target="http://www.ncbi.nlm.nih.gov/pubmed?term=Siebert%20K%5BAuthor%5D&amp;cauthor=true&amp;cauthor_uid=21402848" TargetMode="External"/><Relationship Id="rId5" Type="http://schemas.openxmlformats.org/officeDocument/2006/relationships/settings" Target="settings.xml"/><Relationship Id="rId15" Type="http://schemas.openxmlformats.org/officeDocument/2006/relationships/hyperlink" Target="http://www.ncbi.nlm.nih.gov/pubmed?term=Climo%20MW%5BAuthor%5D&amp;cauthor=true&amp;cauthor_uid=19384220" TargetMode="External"/><Relationship Id="rId23" Type="http://schemas.openxmlformats.org/officeDocument/2006/relationships/hyperlink" Target="http://www.ncbi.nlm.nih.gov/pubmed?term=Seah%20C%5BAuthor%5D&amp;cauthor=true&amp;cauthor_uid=21402848" TargetMode="External"/><Relationship Id="rId28" Type="http://schemas.openxmlformats.org/officeDocument/2006/relationships/theme" Target="theme/theme1.xml"/><Relationship Id="rId10" Type="http://schemas.openxmlformats.org/officeDocument/2006/relationships/hyperlink" Target="http://www.ncbi.nlm.nih.gov/pubmed?term=Silva%20GL%5BAuthor%5D&amp;cauthor=true&amp;cauthor_uid=22314063" TargetMode="External"/><Relationship Id="rId19" Type="http://schemas.openxmlformats.org/officeDocument/2006/relationships/hyperlink" Target="http://www.ncbi.nlm.nih.gov/pubmed/19384220" TargetMode="External"/><Relationship Id="rId4" Type="http://schemas.microsoft.com/office/2007/relationships/stylesWithEffects" Target="stylesWithEffects.xml"/><Relationship Id="rId9" Type="http://schemas.openxmlformats.org/officeDocument/2006/relationships/hyperlink" Target="http://www.ncbi.nlm.nih.gov/pubmed?term=O'Horo%20JC%5BAuthor%5D&amp;cauthor=true&amp;cauthor_uid=22314063" TargetMode="External"/><Relationship Id="rId14" Type="http://schemas.openxmlformats.org/officeDocument/2006/relationships/hyperlink" Target="http://www.nejm.org/doi/full/10.1056/NEJMoa1113849" TargetMode="External"/><Relationship Id="rId22" Type="http://schemas.openxmlformats.org/officeDocument/2006/relationships/hyperlink" Target="http://www.ncbi.nlm.nih.gov/pubmed?term=Longtin%20J%5BAuthor%5D&amp;cauthor=true&amp;cauthor_uid=2140284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09F8-4E54-44E3-B22D-E7E34C4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KTPH</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Say Tat (AHPL)</dc:creator>
  <cp:lastModifiedBy>Willis George Christopher (AHPL)</cp:lastModifiedBy>
  <cp:revision>8</cp:revision>
  <dcterms:created xsi:type="dcterms:W3CDTF">2015-09-09T02:47:00Z</dcterms:created>
  <dcterms:modified xsi:type="dcterms:W3CDTF">2015-09-09T04:07:00Z</dcterms:modified>
</cp:coreProperties>
</file>